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ADAPTAÇÃO DO PROCESSO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ADAP-AASPGOV01-001   ·   Versão 1.1   ·   02/06/2026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ADAP-AASPGOV01-001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adaptação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(Gerente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Decisões de adaptação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Adaptação do processo-padrão (PRO-GPC-001) a este projeto, conforme o GUIA-GPC-001.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Eixo de adaptação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Justificativa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Tipo de produto (com/sem front-end)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Sem UX/UI — apenas serviço de back-end (.NET 8 Scheduled Job)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 solução é um serviço de sincronização entre APIs (Sensr e Jira); não há interface de usuário. Toda interação humana ocorre nas plataformas externas, fora do escopo deste projeto.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Origem dos requisitos e do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elabora; AASP valida e homologa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Os requisitos derivam de problemas operacionais identificados pela AASP na transição entre Sensr e Jira; a Timeware estruturou os RF/RNF e o desenho técnico, validados em homologação pelo Sponsor (Marcos Correa Fernandez Turnes).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Porte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Pequeno → nível de formalidade padrão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~236 h realizadas em 7 semanas, equipe de 6 pessoas com escopo bem delimitado (11 RF + 6 RNF). Não justifica documentação reforçada nem reuniões formais por sprint.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e papéis (acúmulo)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acumula Arquiteto (Cezar Hiraki)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de pequeno porte com arquitetura bem definida desde a Fase 1 (3 camadas: Core/Infrastructure/App). Não justifica papel dedicado de Arquiteto separado do Tech Lead.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Estimativa e cadência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Execução acompanhada por horas em 4 fases (waterfall); backlog modelado retroativamente em </w:t>
            </w:r>
            <w:r>
              <w:rPr>
                <w:rFonts w:ascii="Calibri" w:hAnsi="Calibri"/>
                <w:b/>
                <w:i w:val="0"/>
                <w:sz w:val="20"/>
              </w:rPr>
              <w:t>sprints e story points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(4 sprints, ~59 SP) para evidência ágil e carga no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Concilia a gestão real por fases com a rastreabilidade ágil exigida na avaliação MPS-SW. O fator de conversão adotado foi </w:t>
            </w:r>
            <w:r>
              <w:rPr>
                <w:rFonts w:ascii="Calibri" w:hAnsi="Calibri"/>
                <w:b/>
                <w:i w:val="0"/>
                <w:sz w:val="20"/>
              </w:rPr>
              <w:t>1 SP = 4 h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(referência de projetos B2B de pequeno porte), validado pela velocity resultante de ~15 SP/sprint.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entrega ao cliente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marco/fase, com 4 reuniões de marco registradas em ata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Acordada com a AASP no Kickoff (ATA-AASPGOV01-001); resultados comunicados em Kickoff (14/04), Alinhamento de Mapeamento de APIs (23/04), Validação de Homologação (29/05) e Aceite Final (02/06).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Ambiente de stage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adotado — homologação por amostragem contra APIs reais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Comportamento crítico do serviço depende da compatibilidade real entre Sensr e Jira (autenticação, formato ADF, transições de status, paginação). Mocks ou ambientes simulados não seriam representativos — homologação executada contra workspaces de teste reais do Sensr e do Jira, validados por amostragem.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Cadência de reuniões internas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Reuniões pontuais de alinhamento entre o time + revisão via PR no Azure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Equipe pequena (6 pessoas) com comunicação direta; sprints formais (planning, review, retro) não foram adotados — a modelagem em sprints é retroativa, apenas para evidência.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2. Etapas aplicáveis e não aplicáveis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/ artefato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Aplicável?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de UX/UI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sem front-end (serviço back-end). Seção §3 do PCP-AASPGOV01-001 registra "não aplicável".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Mapa de teste por história (story)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modelado em sprints retroativamente — testes organizados por funcionalidade técnica (12 cenários CT-01 a CT-12), não por história. Ver VV-AASPGOV01-001.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(arquitetura)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PCP-AASPGOV01-001 com arquitetura em 3 camadas + aceite do Tech Lead/Arquiteto.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Estratégia de Integração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ITP-AASPGOV01-001 detalhando integrações com Sensr, Jira v3 e Azure Scheduler.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e execução de V&amp;V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VV-AASPGOV01-001 (Plano) + REL-VV-AASPGOV01-001 (Execução).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 (code review)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REV-AASPGOV01-001 — Pull Request obrigatório com revisão por pelo menos 1 membro além do autor antes do merge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develop</w:t>
            </w:r>
            <w:r>
              <w:rPr>
                <w:rFonts w:ascii="Calibri" w:hAnsi="Calibri"/>
                <w:b w:val="0"/>
                <w:i w:val="0"/>
                <w:sz w:val="20"/>
              </w:rPr>
              <w:t>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Gerência de Configuração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GCO-AASPGOV01-001 com Azure DevOps + GitFlow + baselines (BL-DEV, BL-HOM, BL-PROD).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decisões (GDE)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GDE-AASPGOV01-001 com 7 decisões (D01–D07) e RAD detalhado para D04 (uso de ADF).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Capacitação da equipe (CAP)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CAP-AASPGOV01-001 documentando equipe, integração de membros e práticas de transferência de conhecimento.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Medição (MED)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MED-AASPGOV01-001 alimentando os indicadores M1–M7 do PLA-MED-001.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Aquisição (AQU)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há subcontratação de desenvolvimento; APIs Sensr/Jira e Azure Scheduler são insumos de serviço, tratados em ITP e nos riscos do PLA.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Pontos de controle obrigatórios (não adaptáveis)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Requisitos especificados e validados (REQ-AASPGOV01-001 + ATA-AASPGOV01-001)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Plano de Projeto aprovado pelo cliente (baseline) — aprovado em 14/04/2026 (ATA-AASPGOV01-001)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Definição de Pronto aplicada (critérios de aceite CA01–CA07, ver VV-AASPGOV01-001)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Verificação e validação realizadas (VV-AASPGOV01-001 + REL-VV-AASPGOV01-001)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[x] Encerramento formal com aceite (TAE-AASPGOV01-001 + ATA-AASPGOV01-004, em 02/06/2026)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pontos de controle obrigatórios foram cumpridos.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02/06/2026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adaptação consolidado a partir do Registro de Projeto AASP_Automacao-Governanca v2.0 (08/06/2026).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Reconciliação: nome padronizado (AASP_Automacao-Governanca); sobrenomes (Henry Komatsu, Felipe Siqueira, Jonathan Alves).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02/06/2026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ADAP-AASPGOV01-001</w:t>
    </w:r>
    <w:r>
      <w:tab/>
    </w:r>
    <w:r>
      <w:rPr>
        <w:rFonts w:ascii="Calibri" w:hAnsi="Calibri"/>
        <w:color w:val="555555"/>
        <w:sz w:val="18"/>
      </w:rPr>
      <w:t>Gerência de Projetos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