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5 (SEGREDO DE JUSTIÇA POR INSTÂNCIA E TRATAMENTO DE RETORNOS)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CR-AASPCNJ01-002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5,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), o tratamento granular dos retornos das APIs parceiras (inválido, vazio, erro total/parcial) e o registro de erro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além do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 (um processo pode estar em segredo ou falhar em uma instância e não em outra). Esse escopo adicional, acordado com o cliente, é a origem do atraso de ~30 dias em relação ao prazo original de desenvolvimento (até a Sprint 8 / 02/05), absorvido pelo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segredo por instância, tratamento de retornos das parceiras e priorização do RunUpdater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vs. prazo original (dev até 02/05), absorvido — sem custo adicional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segredo sem cobertura (R-03) e erros parciais por instância (R-06)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 (aba Backlog/Acompanhamento); GDE-AASPCNJ01-001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GEST-AASPCNJ01 (aba Change Requests), na Matriz de Rastreabilidade (RF07–RF12) e na baseline de configuração (GCO-AASPCNJ01-001). O esforço adicional foi absorvido na Fase 5; o atraso de ~30 dias foi acordado com o cliente (ver RAC-AASPCNJ01-001 e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CR-AASPCNJ01-002 (aditivo da Fase 5), dando lastro formal ao escopo adicional e ao atraso de ~30 dias.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