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/ Homologação (execução)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(Garantia da Qualidade de Processo — auditor independente da equipe do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de aderência ao processo-padrão (PRO-GPC-001) e de existência/completude dos produtos de trabalho do projeto na fase de execução, conforme EST-GPC-001. A independência da função de GQA é assegurada pela atuação de Jonathan Barbosa (Garantia da Qualidade de Processo), fora da equipe de engenharia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 ao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REQ-AASPCNJ01-001; ATA-AASPCNJ01-001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adaptado e registrado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ADAP-AASPCNJ01-001; GUIA-GPC-001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documentado e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 §5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V&amp;V planejada e executada; defeitos tratados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/ REL-VV-AASPCNJ01-001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registradas (gatilhos GDE)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e mudanças formalizados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/ CR-AASPCNJ01-001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identificados e controlados com convenção de 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§2–3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estabelecida no marco (publicação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§4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Pendente — projeto em execução (registrar no encerramento)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Segue 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aprovação a registrar no encerramento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/ VV / REL-VV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/ GDE / MED / RASTR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e baseline de aprovação do plano pendentes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no encerramento (TAE e baseline final)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GQA conduzida de forma consolidada na execução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verificação independente nos marcos restantes (homologação/encerramento)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% de conformidade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 de 9 itens de processo conformes (88,9%); produtos de trabalho 100% existentes e aderentes ao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Achados abertos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(severidade baixa, relativos a marcos de encerramento)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Oportunidades de melhoria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a verificação independente de GQA por marco, em vez de consolidada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(execução)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GQA-AASPCNJ01-001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