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SOLICITAÇÃO DE MUDANÇA DE ESCOPO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CR-FRUKI01-001   ·   Versão 1.0   ·   09/10/2025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solicitação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 e implementada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Solicitante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(Coordenador de Sistemas — Fruki)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Aprovado por (Timeware)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(GP) / Tiago Nascimento (COO)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 no 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CM-03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GCO-FRUKI01-001_Registro-de-Configuracao.md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da solicitação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proposta comercial "Pacote Final 24", apresentada em 26/09/2025, contemplava originalmente dois módulos: </w:t>
      </w:r>
      <w:r>
        <w:rPr>
          <w:rFonts w:ascii="Calibri" w:hAnsi="Calibri"/>
          <w:b/>
          <w:i w:val="0"/>
          <w:sz w:val="22"/>
        </w:rPr>
        <w:t>Pedidos Não Alocados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PDV / Rota PDV</w:t>
      </w:r>
      <w:r>
        <w:rPr>
          <w:rFonts w:ascii="Calibri" w:hAnsi="Calibri"/>
          <w:b w:val="0"/>
          <w:i w:val="0"/>
          <w:sz w:val="22"/>
        </w:rPr>
        <w:t>. O módulo de Regra de Ouro (à época denominado internamente pela Fruki como "Caixa Preta") não fazia parte do escopo proposto.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Na reunião de kickoff do Pacote Final 24 em 09/10/2025 e na reunião de "Entendimento Demanda Caixa Preta" realizada no mesmo dia, Leandro Lottermann solicitou a inclusão do módulo de composição detalhada da remuneração variável ("Caixa Preta") no escopo do Pacote Final 24, sem custo adicional, como parte do fechamento do roadmap 2025 da Fruki.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Descrição da mudança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 de mudança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Ampliação de escopo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Módulo impactado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 (anteriormente denominado "Caixa Preta") — RF-09, RF-10, RF-11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 anterior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 (RF-05 a RF-08) + PDV / Rota PDV (RF-12 a RF-14)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 após mudança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Pedidos Não Alocados + </w:t>
            </w:r>
            <w:r>
              <w:rPr>
                <w:rFonts w:ascii="Calibri" w:hAnsi="Calibri"/>
                <w:b/>
                <w:i w:val="0"/>
                <w:sz w:val="20"/>
              </w:rPr>
              <w:t>Regra de Ouro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(RF-09 a RF-11) + PDV / Rota PDV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Funcionalidades incluídas pela mudança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de indicadores de Regra de Ouro — progresso atual vs. meta por indicador de RV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Visualização do progresso de atingimento por SKU e por família de produtos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Pesquisa de SKU em tempo real com filtro reativo na lista de indicadores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Análise de impacto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incluído sem custo adicional conforme alinhamento entre Leandro Lottermann e Tiago Nascimento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Absorvido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(novembro/2025) alocada para o módulo Regra de Ouro; prazo final de 15/01/2026 mantido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+21 SP estimados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adicionada ao planejamento — refletido em PLA-FRUKI01-002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React Native já estabelecida; APIs de indicadores de RV disponíveis pela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3 RF (RF-09 a RF-11)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Registrado em REQ-FRUKI01-002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protótipos para 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 produziu protótipos validados por Cecília antes da Sprint 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Justificativa da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inclusão foi aprovada por ambas as partes pelos seguintes motivos: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O módulo Regra de Ouro era uma demanda latente da Fruki — o sistema interno de RV era opaco para os vendedores e havia pressão interna para dar visibilidade à composição do bônus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 inclusão sem custo adicional foi viável porque o esforço de desenvolvimento do módulo era compatível com a capacidade disponível no planejamento de 3 sprints mensais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 entrega em sprint dedicado (Sprint 2 — novembro/2025) não afetou as sprints de Pedidos Não Alocados (outubro) e PDV (dezembro/janeiro)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arquitetura existente (React Native / Expo + autenticação via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>) permitia integração com a nova API sem overhead técnico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Rastreabilidade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impactado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impacto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atualizado para incluir 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§2 Escopo macro; §7 Premissas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adicionada ao planejamento; +21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 Cronograma; §4 Estimativas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a RF-11 incluídos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"Módulo Regra de Ouro"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 módulo documentada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2.2 e 3.2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da API 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do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Sprint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a RF-11 rastreados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registrada como CM-03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§4 Controle de mudanças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validação do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Sprint 2 — nov/2025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Reuniões de referência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Fireflies 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Parceria Fruki ↔ Timeware — kickoff Pacote Final 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HWwWGbMe3glWfXgl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Demanda Caixa Preta — levantamento do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gOI5CeLpUr7VPiyf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Resultado da mudança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mudança foi implementada conforme planejado. O Módulo Regra de Ouro foi entregue em novembro/2025 via Pull Request revisada e mergeada por Jardel Dargas Silva. A nomenclatura "Caixa Preta" foi substituída por "Regra de Ouro" durante a revisão de protótipos com Cecília Ribeiro em 22/10/2025 (ver </w:t>
      </w:r>
      <w:r>
        <w:rPr>
          <w:rFonts w:ascii="Courier New" w:hAnsi="Courier New"/>
          <w:b w:val="0"/>
          <w:i w:val="0"/>
          <w:color w:val="333333"/>
          <w:sz w:val="20"/>
        </w:rPr>
        <w:t>GDE-FRUKI01-001</w:t>
      </w:r>
      <w:r>
        <w:rPr>
          <w:rFonts w:ascii="Calibri" w:hAnsi="Calibri"/>
          <w:b w:val="0"/>
          <w:i w:val="0"/>
          <w:sz w:val="22"/>
        </w:rPr>
        <w:t xml:space="preserve"> — Decisão 2). O módulo integra o build AAB v2.0 entregue em janeiro/2026.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(mudança aprovada e implementada em out–nov/2025)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09/10/2025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09/10/2025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CR-FRUKI01-001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