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CHANGE REQUESTS — CADASTRO DE CLIENTES · REDE D1000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CR-PROFARMA01-001   ·   Versão 1.0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projeto foi contratado como squad mensalizado (3 Dev Pleno), modelo que permite a absorção incremental de mudanças de escopo sem recontratação formal, desde que aprovadas pelo patrocinador e registradas. Ao longo dos 19 sprints (abril/2025–janeiro/2026), foram aprovados e absorvidos </w:t>
      </w:r>
      <w:r>
        <w:rPr>
          <w:rFonts w:ascii="Calibri" w:hAnsi="Calibri"/>
          <w:b/>
          <w:i w:val="0"/>
          <w:sz w:val="22"/>
        </w:rPr>
        <w:t>12 change requests</w:t>
      </w:r>
      <w:r>
        <w:rPr>
          <w:rFonts w:ascii="Calibri" w:hAnsi="Calibri"/>
          <w:b w:val="0"/>
          <w:i w:val="0"/>
          <w:sz w:val="22"/>
        </w:rPr>
        <w:t>, todos gerenciados dentro do mesmo squad sem acréscimo de custo de mão de obra — os CRs impactaram principalmente o cronograma e contribuíram para a extensão do prazo original de setembro/2025 para janeiro/2026.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Registro consolidado de Change Requests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 / Sprints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mudança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Escopo afetado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 no prazo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Aprovado por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· Sprints 6–8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BlueSoft (score de crédito e dados de perfil) — inclusão da integração com o sistema de crédito BlueSoft, não prevista no escopo original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RF-15 — novo endpoint e integração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+2 sprints estimados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 Junior / Abraão Oliveira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Absorvido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· Sprints 6–8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CloseUp (dados de consumo) — inclusão da integração com o sistema de análise de consumo CloseUp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RF-16 — novo endpoint e integração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Incluído no mesmo bloco do CR-01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 Junior / Abraão Oliveira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Absorvido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· Sprints 8–10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de implementação na integração BlueSoft — refinamentos de contrato de API e tratamento de casos extremos identificados na implementação do CR-01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RF-15 — ajustes pós-integração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Dentro do bloco de sprints realocados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 Junior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Absorvido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· Sprints 8–10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de implementação na integração CloseUp — refinamentos de contrato de API e tratamento de casos extremos identificados na implementação do CR-02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RF-16 — ajustes pós-integração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Dentro do bloco de sprints realocados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 Junior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Absorvido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· Sprint 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de anonimização LGPD — desenvolvimento do worker de expurgo de dados pessoais sensíveis conforme exigência legal, não previsto no escopo original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Novo componente: worker batch de anonimização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 sprint estimado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Pedro Costa / Abraão Oliveira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Absorvido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· Sprint 11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Backup PITR explicitado nos requisitos de infraestrutura — inclusão formal do requisito de Point-in-Time Recovery para o banco PostgreSQL Azure no escopo do projeto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 — requisito de infraestrutura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impacto de prazo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Humberto Erler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Absorvido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· Sprint 13–14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Aceleração do prazo da integração Propz CRM — antecipação do deadline da integração Propz de "sem prazo definido" para 04/12/2025, com compromisso formal de entrega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 (Propz CRM) — deadline fixado em 04/12/2025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Criou prazo rígido; absorvido dentro do cronograma já revisado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Helena Moreira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Absorvido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· Sprint 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Adição de métricas Prometheus ao serviço — inclusão de endpoint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/metrics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métricas de performance e negócio para observabilidade interna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Novo componente: endpoint de métricas Prometheus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impacto de prazo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 Junior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Absorvido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CR-09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· Sprint 12–13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no contrato de API VTEX — campo de endereço não previsto na especificação original identificado nos testes de integração VTEX; inclusão do campo no modelo de dados e no contrato de API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 (VTEX) — ajuste de contrato e modelo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impacto de prazo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 Junior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Absorvido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CR-10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· Sprint 12–13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score_credito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na integração BlueSoft — campo adicional solicitado pelo negócio para enriquecer o perfil de cliente com dados de crédito BlueSoft, não previsto na especificação original do CR-01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RF-15 (BlueSoft) — campo adicional no modelo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impacto de prazo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Pedro Costa / Armando Junior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Absorvido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CR-11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 · Sprint 16–17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no fluxo de opt-out Propz CRM — redefinição do comportamento de opt-out de marketing após validação conjunta com o time Propz; mudança de lógica de propagação do sinal de opt-out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 (Propz CRM) — ajuste de lógica de negócio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impacto de prazo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Pedro Costa / Helena Moreira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Absorvido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CR-12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 · Sprint 17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Suporte a campo adicional de conveniado no canal Call Center — campo de identificação de programa de conveniado solicitado pela equipe de Call Center durante os testes de homologação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 (Call Center) — campo adicional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impacto de prazo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Humberto Erler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Absorvido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Impacto consolidado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Prazo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Extensão de ~4 meses (setembro/2025 → janeiro/2026); principal fator: CRs de integrações BlueSoft e CloseUp (CR-01 a CR-04) somados ao risco de ambiente e GMUD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Custo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acréscimo de custo de mão de obra (modelo mensalizado); custo adicional indireto: viagens presenciais para resolução de blockers (média R$ 5.000 por deslocamento)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+2 integrações completas (BlueSoft e CloseUp), +1 worker LGPD, +1 componente de observabilidade (Prometheus), múltiplos ajustes de contrato de API e modelo de dados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Qualidade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CRs foram implementados com testes unitários e cenários de homologação correspondentes; 0 defeitos S1 ou S2 abertos no aceite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CRs que impactaram o cronograma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 no 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Sprint(s) afetadas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CR-01 / CR-02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Principal fator de extensão — adição de 2 integrações completas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6–10 realocados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Acréscimo de 1 sprint de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8 replanejado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CR-07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Criou prazo rígido (04/12/2025) que condicionou os Sprints 13–16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13–16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demais CRs (CR-03, CR-04, CR-06, CR-08, CR-09, CR-10, CR-11, CR-12) foram absorvidos sem impacto adicional no cronograma por serem refinamentos implementados dentro dos sprints afetados ou por não consumirem esforço significativo além do já alocado.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Rastreabilidade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Relação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RAC-PROFARMA01-001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Desvios e CRs por fase do projeto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TAE-PROFARMA01-001 §4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Indicadores finais — 12 CRs formais absorvidos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REQ-PROFARMA01-001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originais; RF-12 a RF-17 correspondem a entregas expandidas por CRs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GQA-PROFARMA01-001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Conformidade do processo de controle de mudanças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reconstituído com base no RAC-PROFARMA01-001 e TAE-PROFARMA01-001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CR-PROFARMA01-001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