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ADAPTAÇÃO DO PROCESSO — REDE D1000 · CADASTRO DE CLIENTES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ADAP-PROFARMA01-001   ·   Versão 1.1   ·   13/06/2026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ADAP-PROFARMA01-001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—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S.A. /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 — adaptação do processo padrão)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as adaptações aplicadas ao processo-padrão de desenvolvimento Timeware para a execução do projeto Cadastro de Clientes — Rede D1000, justificando cada decisão e seus impactos no planejamento.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Adaptações aplicadas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do processo-padrão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de adaptação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Definição completa de requisitos antes do início do desenvolvimento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Requisitos levantados de forma iterativa durante os sprints 1–4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cliente (D1000) não tinha documentação formal do comportamento legado do ITEC; o entendimento dos requisitos só foi possível com a análise do código legado em paralelo com o desenvolvimento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Planning formal documentada desde o Sprint 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1–3 operaram com planejamento informal via reuniões diárias; rastreabilidade introduzida formalmente a partir do Sprint 4 (Jira)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equipe do cliente não utilizava gerenciamento formal de backlog no início; o Jira foi adotado gradualmente após validação interna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de integração completo antes da implementação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das integrações foi evoluído incrementalmente, sprint a sprint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Dependência de informações técnicas dos sistemas satélites (BlueSoft, CloseUp, PBM) que chegaram apenas ao longo do projeto; contratos de API definidos em conjunto com os proprietários dos sistemas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homologação independente desde o início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ambiente de homologação foi provisionado apenas a partir de julho/2025 (após liberação do AKS pela equipe de infra D1000)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Restrição do cliente: acesso ao AKS e ao Azure DevOps foi liberado com atraso; o time Timeware trabalhou em ambiente local (Docker Compose) durante os sprints iniciais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sistema executados pela própria equipe de desenvolvimento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execução dos testes de homologação foi responsabilidade conjunta: Timeware (Caroline Sousa / QA) + equipe D1000 (Julielle Santos / QA)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cliente exigiu co-participação nos testes para validar os critérios de aceite; os roteiros de teste foram revisados em conjunto e aprovados pela D1000 antes da execução formal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Nível de documentação de design técnico (PCP) simplificado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técnica mantida no nível de diagramas de fluxo e decisões arquiteturais; especificações de baixo nível mantidas nos PRs do Azure DevOps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enxuta; overhead de documentação baixo-nível comprometia a cadência de entrega; os PRs do Azure DevOps servem como documentação viva das decisões técnicas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técnica (peer review) com dois revisores independentes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Revisões de código realizadas com um revisor (Tech Lead Cézar Hiraki Velázquez)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de 3 Dev Backend; manter dois revisores independentes aumentaria o lead time dos PRs sem ganho proporcional de qualidade; o tech lead D1000 (Armando Junior) participava de revisões de mudanças arquiteturais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Combinação de papéis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(Cézar Hiraki Velázquez) acumulou papel de Arquiteto da Solução nas primeiras 4 sprints; Gerente de Projeto (Abraão Oliveira) acumulou papel de Account Manager e GCO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contratada: 3 Dev Pleno + Tech Lead; escopo de papéis ajustado para viabilidade operacional do contrato mensalizado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Deploys em produção via pipeline automatizado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Deploys em produção requereram aprovação via GMUD (Change Management da D1000) antes de cada execução de pipeline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Restrição do cliente: o processo GMUD da D1000 é obrigatório para qualquer mudança em ambiente produtivo; a Timeware adaptou o fluxo de release para incluir a abertura e aprovação de GMUD como gate pré-deploy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A-10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Piloto em um único ambiente antes do rollout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Piloto restrito à loja 9, cobrindo três canais (PDV, Balcão, OMNI) antes do rollout geral para a rede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Decisão estratégica do cliente: minimizar risco de impacto operacional nas demais lojas; loja 9 escolhida por volume controlado e acesso facilitado da equipe de TI D1000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Itens sem adaptação (processo-padrão mantido)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Controle de versão de código no Azure DevOps (Git)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Revisão de PR obrigatória antes do merge no branch principal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Execução de testes unitários como gate no pipeline CI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Registro de riscos com probabilidade, impacto e plano de resposta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Comunicação semanal de status ao cliente (relatório + reunião)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Rastreabilidade de requisitos para casos de teste (a partir do Sprint 4)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Formalização de mudanças de escopo via change request antes da implementação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Impacto das adaptações no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Adaptação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 observado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A-01 (requisitos iterativos)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Gerou retrabalho nos sprints 5–7 quando requisitos inicialmente não documentados foram identificados; aceito pela equipe como custo de descoberta incremental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A-04 (ambiente tardio)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Atrasou o início dos testes de integração em ~6 semanas; mitigado com ambiente Docker local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A-09 (GMUD obrigatório)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Adicionou 2–5 dias úteis ao ciclo de release em produção; gerenciado com planejamento antecipado das janelas de mudança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A-10 (piloto loja 9)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Permitiu validação em condições reais sem risco para a rede; todos os ajustes necessários foram identificados e corrigidos antes do rollout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Processos não aplicáveis ao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Processo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Aplicável?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Aquisição (AQU)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Não aplicável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Squad próprio Timeware; não há subcontratação de terceiro responsável por entrega. Os sistemas satélites (BlueSoft, CloseUp, PBM) e o ambiente AKS são integrações/insumos do cliente, tratados em ITP e Riscos, fora do escopo de AQU (PRO-AQU-001 §2).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reconstituída com base nas reuniões de planejamento e dailys do período 04/2025–01/2026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Adicionada a seção 5 (Processos não aplicáveis), registrando explicitamente a não aplicabilidade do processo de Aquisição (AQU), conforme PRO-AQU-001 §2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13/06/2026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13/06/2026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ADAP-PROFARMA01-001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