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ANÁLISE DE DECISÃO — CADASTRO DE CLIENTES · REDE D1000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GDE-PROFARMA01-001   ·   Versão 1.0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GDE-PROFARMA01-001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Clientes —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 S.A. /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Decisão GDE-001 — Banco de dados para persistência do cadastro de clientes</w:t>
      </w:r>
    </w:p>
    <w:p>
      <w:pPr>
        <w:pStyle w:val="Heading2"/>
        <w:keepNext/>
        <w:keepLines/>
      </w:pPr>
      <w:r>
        <w:t>1. Contexto / problema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sistema precisa persistir e consultar uma base de ~7 milhões de CPFs com alta frequência de leitura (múltiplos canais simultâneos), suportar JSONB para o mecanismo de outbox de integração e para tabelas de auditoria, e ser hospedado na nuvem Microsoft Azure. A escolha do banco de dados é uma decisão arquitetural irreversível que impacta modelo de dados, infraestrutura, operações e custo ao longo de toda a vida do sistema.</w:t>
      </w:r>
    </w:p>
    <w:p>
      <w:pPr>
        <w:pStyle w:val="Heading2"/>
        <w:keepNext/>
        <w:keepLines/>
      </w:pPr>
      <w:r>
        <w:t>2. Alternativas avaliadas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Alternativa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PostgreSQL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Banco relacional open-source com suporte nativo a JSONB, disponível no Azure via Azure Database for PostgreSQL Flexible Server. Compatível com o padrão de outbox e auditoria. Forte ecossistema .NET (EF Core, Dapper).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SQL Server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Banco relacional da Microsoft, nativo no Azure (Azure SQL). Alta integração com o ecossistema MS, mas sem suporte a JSONB nativo; JSON armazenado como NVARCHAR com funções específicas. Custo de licença embutido no serviço.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MySQL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Banco relacional open-source; suporte a JSON desde v5.7, mas com limitações em indexação e pesquisa de campos JSON comparado ao JSONB do PostgreSQL. Menor adoção no ecossistema .NET corporativo.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MongoDB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Banco NoSQL orientado a documentos; armazenamento flexível de documentos JSON nativo. Ausência de transações ACID completas em cenários distribuídos complexos e menor maturidade do ORM .NET; maior distância do modelo relacional já dominado pela equipe.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 Critérios de decisão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Suporte nativo a JSONB para outbox e auditoria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Compatibilidade com Azure e disponibilidade como serviço gerenciado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Performance em leitura de chave primária (CPF) em alta volumetria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com o stack .NET da equipe (EF Core + Dapper)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Custo operacional no Azure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Curva de aprendizado da equipe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4. Avaliação (matriz de decisão)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 — PostgreSQL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 — SQL Server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 — MySQL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 — MongoDB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Suporte nativo a JSONB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Nativo e completo — JSONB indexável, operadores avançados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 — JSON como NVARCHAR, sem indexação nativa eficiente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 — JSON indexável, mas inferior ao JSONB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Nativo — modelo de documentos, mas sem JSONB do tipo relacional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Compatibilidade Azure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Database for PostgreSQL Flexible Server — gerenciado e maduro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SQL — nativo e maduro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Database for MySQL — gerenciado, mas menos adotado no enterprise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Cosmos DB for MongoDB — gerenciado, mas com diferenças de compatibilidade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Performance em leitura de CPF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Excelente — índices B-tree em VARCHAR(11) com planner maduro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Excelente — índices clustered/non-clustered eficientes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Boa — índices similares, mas planner menos sofisticado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Boa para documentos, mas overhead de mapeamento para modelo relacional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.NET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Excelente — EF Core + Npgsql, Dapper totalmente suportados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Excelente — EF Core + SqlClient, stack nativo MS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Boa — EF Core + MySqlConnector disponíveis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Boa — driver oficial MongoDB .NET, mas sem ORM relacional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Custo Azure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Favorável — open-source, sem licença adicional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Desfavorável — licença SQL Server embutida eleva o custo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Favorável — open-source, custo similar ao PostgreSQL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 — Cosmos DB com custo por RU/s pode ser imprevisível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Curva de aprendizado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 — equipe já familiarizada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 — equipe conhece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 — requer mudança de paradigma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Avaliação geral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Melhor opção: combina JSONB nativo, custo favorável e stack .NET maduro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Penalizado pelo custo e ausência de JSONB real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Adequado, mas inferior ao PostgreSQL em JSONB e ecossistema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Incompatível com modelo relacional e outbox transacional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5. Decisão tomada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Alternativa A — PostgreSQL</w:t>
      </w:r>
      <w:r>
        <w:rPr>
          <w:rFonts w:ascii="Calibri" w:hAnsi="Calibri"/>
          <w:b w:val="0"/>
          <w:i w:val="0"/>
          <w:sz w:val="22"/>
        </w:rPr>
        <w:t xml:space="preserve"> hospedado no Azure Database for PostgreSQL Flexible Server.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PostgreSQL é a única alternativa que atende simultaneamente aos três requisitos críticos: JSONB nativo para outbox e auditoria, integração madura com o stack .NET (EF Core para escrita, Dapper para leitura) e custo operacional sem licenciamento adicional. A escolha simplifica o modelo de outbox transacional, que depende de uma tabela de eventos JSONB consultada por worker assíncrono.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Responsável pela aprovação:</w:t>
      </w:r>
      <w:r>
        <w:rPr>
          <w:rFonts w:ascii="Calibri" w:hAnsi="Calibri"/>
          <w:b w:val="0"/>
          <w:i w:val="0"/>
          <w:sz w:val="22"/>
        </w:rPr>
        <w:t xml:space="preserve"> Armando Junior (Tech Lead / Gestor de TI — Rede D1000)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Data da decisão:</w:t>
      </w:r>
      <w:r>
        <w:rPr>
          <w:rFonts w:ascii="Calibri" w:hAnsi="Calibri"/>
          <w:b w:val="0"/>
          <w:i w:val="0"/>
          <w:sz w:val="22"/>
        </w:rPr>
        <w:t xml:space="preserve"> 09/05/2025</w:t>
      </w:r>
    </w:p>
    <w:p>
      <w:pPr>
        <w:pStyle w:val="Heading2"/>
        <w:keepNext/>
        <w:keepLines/>
      </w:pPr>
      <w:r>
        <w:t>6. Consequências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modelo de dados, migrations e scripts de carga inicial são desenvolvidos exclusivamente para PostgreSQL; migração futura para outro banco exigiria reescrita completa.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padrão de outbox utiliza uma tabela </w:t>
      </w:r>
      <w:r>
        <w:rPr>
          <w:rFonts w:ascii="Courier New" w:hAnsi="Courier New"/>
          <w:b w:val="0"/>
          <w:i w:val="0"/>
          <w:color w:val="333333"/>
          <w:sz w:val="20"/>
        </w:rPr>
        <w:t>outbox_events</w:t>
      </w:r>
      <w:r>
        <w:rPr>
          <w:rFonts w:ascii="Calibri" w:hAnsi="Calibri"/>
          <w:b w:val="0"/>
          <w:i w:val="0"/>
          <w:sz w:val="22"/>
        </w:rPr>
        <w:t xml:space="preserve"> com coluna JSONB </w:t>
      </w:r>
      <w:r>
        <w:rPr>
          <w:rFonts w:ascii="Courier New" w:hAnsi="Courier New"/>
          <w:b w:val="0"/>
          <w:i w:val="0"/>
          <w:color w:val="333333"/>
          <w:sz w:val="20"/>
        </w:rPr>
        <w:t>payload</w:t>
      </w:r>
      <w:r>
        <w:rPr>
          <w:rFonts w:ascii="Calibri" w:hAnsi="Calibri"/>
          <w:b w:val="0"/>
          <w:i w:val="0"/>
          <w:sz w:val="22"/>
        </w:rPr>
        <w:t>, consultada por worker a cada ciclo de polling.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Azure Database for PostgreSQL Flexible Server deve ser provisionado com réplica de leitura se o volume de leituras simultâneas exceder a capacidade da instância primária.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Decisão GDE-002 — Chave primária da entidade Cliente</w:t>
      </w:r>
    </w:p>
    <w:p>
      <w:pPr>
        <w:pStyle w:val="Heading2"/>
        <w:keepNext/>
        <w:keepLines/>
      </w:pPr>
      <w:r>
        <w:t>1. Contexto / problema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modelo de dados precisa definir a chave primária da tabela </w:t>
      </w:r>
      <w:r>
        <w:rPr>
          <w:rFonts w:ascii="Courier New" w:hAnsi="Courier New"/>
          <w:b w:val="0"/>
          <w:i w:val="0"/>
          <w:color w:val="333333"/>
          <w:sz w:val="20"/>
        </w:rPr>
        <w:t>clientes</w:t>
      </w:r>
      <w:r>
        <w:rPr>
          <w:rFonts w:ascii="Calibri" w:hAnsi="Calibri"/>
          <w:b w:val="0"/>
          <w:i w:val="0"/>
          <w:sz w:val="22"/>
        </w:rPr>
        <w:t>. Todos os canais de atendimento (PDV, Balcão, Call Center, OMNI/VTEX) consultam o cadastro exclusivamente por CPF. Usar um identificador interno (UUID) como PK exigiria um índice único no CPF e joins adicionais em todas as consultas dos canais, aumentando a latência e a complexidade das queries.</w:t>
      </w:r>
    </w:p>
    <w:p>
      <w:pPr>
        <w:pStyle w:val="Heading2"/>
        <w:keepNext/>
        <w:keepLines/>
      </w:pPr>
      <w:r>
        <w:t>2. Alternativas avaliadas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Alternativa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CPF como chave primária (VARCHAR(11))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CPF como PK natural e direta. Elimina a necessidade de índice separado no CPF; todas as consultas por CPF são lookups diretos na PK.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UUID como chave primária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UUID gerado internamente como PK técnico. CPF seria coluna com índice único. Joins entre tabelas relacionadas usariam UUID.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 Critérios de decisão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Performance de leitura por CPF (principal operação de todos os canais)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Simplicidade do modelo de dados e das queries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Unicidade garantida do CPF (requisito de negócio)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Portabilidade do identificador entre sistemas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Geração de PK sem dependência de lógica de negócio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4. Avaliação (matriz de decisão)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 — CPF como PK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 — UUID como PK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Performance de leitura por CPF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Máxima — lookup direto na PK, sem índice adicional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Penalizada — lookup no índice do CPF + acesso ao registro pela PK UUID; latência adicional em alta volumetria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Simplicidade do modelo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 — CPF identifica o cliente em todas as tabelas relacionadas; sem chave técnica paralela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 — duas colunas de identificação (UUID + CPF); joins exigem resolução do UUID antes de retornar dados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Unicidade do CPF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Garantida pela própria PK — sem necessidade de constraint adicional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Garantida por UNIQUE constraint separado — equivalente, mas com overhead de manutenção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Portabilidade do identificador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 — CPF é o identificador universal no ecossistema D1000 (ITEC, VTEX, Call Center, Propz)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 — UUID seria exclusivo do sistema novo; sistemas externos continuariam a usar CPF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Geração sem dependência de negócio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Dependente — CPF é fornecido externamente; inválido ou duplicado levanta erro de negócio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Independente — UUID gerado internamente sem validação de negócio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Avaliação geral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Favorável — alinhado ao domínio, performático e sem redundância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Desfavorável — complexidade sem benefício real neste contexto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5. Decisão tomada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Alternativa A — CPF como chave primária, tipo VARCHAR(11).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sistema é multicanal e todos os canais consultam exclusivamente por CPF. Usar CPF como PK elimina um nível de indireção em todas as operações de leitura, o que é crítico para o SLA de latência (p95 ≤ 200ms no endpoint GET /clientes/{cpf}). A unicidade do CPF é requisito de negócio — torná-lo PK reforça essa regra no próprio modelo relacional.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Responsável pela aprovação:</w:t>
      </w:r>
      <w:r>
        <w:rPr>
          <w:rFonts w:ascii="Calibri" w:hAnsi="Calibri"/>
          <w:b w:val="0"/>
          <w:i w:val="0"/>
          <w:sz w:val="22"/>
        </w:rPr>
        <w:t xml:space="preserve"> Armando Junior (Tech Lead / Gestor de TI — Rede D1000)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Data da decisão:</w:t>
      </w:r>
      <w:r>
        <w:rPr>
          <w:rFonts w:ascii="Calibri" w:hAnsi="Calibri"/>
          <w:b w:val="0"/>
          <w:i w:val="0"/>
          <w:sz w:val="22"/>
        </w:rPr>
        <w:t xml:space="preserve"> 09/05/2025</w:t>
      </w:r>
    </w:p>
    <w:p>
      <w:pPr>
        <w:pStyle w:val="Heading2"/>
        <w:keepNext/>
        <w:keepLines/>
      </w:pPr>
      <w:r>
        <w:t>6. Consequências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CPF armazenado deve ser validado antes da inserção (dígitos verificadores); CPF inválido é rejeitado na camada de aplicação antes de atingir o banco.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Operações de merge de cadastros duplicados da base legada ITEC devem resolver conflitos de CPF antes da carga inicial.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Sistemas satélites que consultam o cadastro sempre usam CPF como chave de busca, sem necessidade de resolver um identificador interno.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Decisão GDE-003 — Padrão de integração com o sistema legado ITEC</w:t>
      </w:r>
    </w:p>
    <w:p>
      <w:pPr>
        <w:pStyle w:val="Heading2"/>
        <w:keepNext/>
        <w:keepLines/>
      </w:pPr>
      <w:r>
        <w:t>1. Contexto / problema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ITEC é o sistema legado de PDV da Rede D1000 e precisa ser notificado sempre que um cadastro é criado ou atualizado no novo sistema. O ITEC não suporta consumo de eventos; precisa ser chamado (ou ter dados enviados a ele). A integração deve garantir entrega at-least-once (nenhum evento pode ser perdido silenciosamente), e uma falha temporária no ITEC não pode bloquear a operação de cadastro no novo sistema.</w:t>
      </w:r>
    </w:p>
    <w:p>
      <w:pPr>
        <w:pStyle w:val="Heading2"/>
        <w:keepNext/>
        <w:keepLines/>
      </w:pPr>
      <w:r>
        <w:t>2. Alternativas avaliadas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Alternativa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Outbox pattern com worker de polling e backoff exponencial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 transação de cadastro persiste o evento em uma tabela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outbox_events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(JSONB). Um worker assíncrono polling essa tabela e tenta enviar ao ITEC. Em caso de falha, aplica backoff exponencial. A transação de cadastro nunca espera o ITEC.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Chamada HTTP síncrona ao ITEC no momento do cadastro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API de cadastro realiza a chamada HTTP ao ITEC dentro da mesma request do cliente. Cadastro e notificação ITEC são acoplados temporalmente.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Publicação direta em Azure Service Bus sem outbox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transação de cadastro publica uma mensagem no Azure Service Bus. Um consumer dedicado ao ITEC consome a fila e chama o ITEC. Sem tabela de outbox no banco relacional.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 Critérios de decisão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Garantia de at-least-once delivery (nenhum evento perdido)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Desacoplamento: falha no ITEC não bloqueia o cadastro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Consistência transacional (evento só existe se o cadastro existir)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Complexidade de implementação e operação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Observabilidade e reprocessamento manual em caso de falha persistente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4. Avaliação (matriz de decisão)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 — Outbox + worker polling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 — HTTP síncrono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 — Service Bus direto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At-least-once delivery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Garantido — o evento persiste no banco até confirmação de envio; sem risco de perda por crash da aplicação entre o cadastro e o envio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garantido — se a chamada falhar após o commit do cadastro, o evento é perdido sem mecanismo de retry estrutural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 — o Service Bus garante entrega ao consumer, mas não há atomicidade entre o cadastro e a publicação da mensagem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Desacoplamento do ITEC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Total — o worker opera de forma assíncrona; latência ou indisponibilidade do ITEC não afeta o response time do cadastro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 — falha ou timeout do ITEC falha a request de cadastro ou exige timeout agressivo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Bom — a publicação no Service Bus é rápida; falha do ITEC não bloqueia o cadastro, mas falha na publicação pode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Consistência transacional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Máxima — o evento é inserido na mesma transação do cadastro; impossível ter cadastro sem evento correspondente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 — mas falha após o commit do cadastro (antes do HTTP) perde o evento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 — publicação no Service Bus é fora da transação do banco; janela de inconsistência em caso de crash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Complexidade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 — requer tabela outbox, worker, lógica de backoff e marcação de eventos processados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 — uma chamada HTTP dentro da request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 — requer infraestrutura de Service Bus e consumer dedicado, sem a simplicidade transacional do outbox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Observabilidade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 — tabela outbox é auditável; eventos pendentes, em erro e processados visíveis via query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 — falhas são silenciosas sem logging estruturado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 — Service Bus oferece dead-letter queue, mas requer correlação com o cadastro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Avaliação geral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Melhor opção: única que garante consistência transacional + at-least-once delivery + desacoplamento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Inaceitável para produção: falha no ITEC bloqueia o cadastro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Inadequado: falta atomicidade entre cadastro e publicação da mensagem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5. Decisão tomada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Alternativa A — Outbox pattern com worker de polling e backoff exponencial.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Outbox pattern é a única abordagem que garante simultaneamente: (a) que nenhum evento seja perdido mesmo em cenários de crash, (b) que o cadastro nunca aguarde o ITEC e (c) consistência transacional entre o registro do cliente e o evento de integração. O ITEC historicamente apresenta instabilidades e janelas de manutenção; o desacoplamento é um requisito operacional não negociável.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Responsável pela aprovação:</w:t>
      </w:r>
      <w:r>
        <w:rPr>
          <w:rFonts w:ascii="Calibri" w:hAnsi="Calibri"/>
          <w:b w:val="0"/>
          <w:i w:val="0"/>
          <w:sz w:val="22"/>
        </w:rPr>
        <w:t xml:space="preserve"> Armando Junior (Tech Lead / Gestor de TI — Rede D1000)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Data da decisão:</w:t>
      </w:r>
      <w:r>
        <w:rPr>
          <w:rFonts w:ascii="Calibri" w:hAnsi="Calibri"/>
          <w:b w:val="0"/>
          <w:i w:val="0"/>
          <w:sz w:val="22"/>
        </w:rPr>
        <w:t xml:space="preserve"> 16/05/2025</w:t>
      </w:r>
    </w:p>
    <w:p>
      <w:pPr>
        <w:pStyle w:val="Heading2"/>
        <w:keepNext/>
        <w:keepLines/>
      </w:pPr>
      <w:r>
        <w:t>6. Consequências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A tabela </w:t>
      </w:r>
      <w:r>
        <w:rPr>
          <w:rFonts w:ascii="Courier New" w:hAnsi="Courier New"/>
          <w:b w:val="0"/>
          <w:i w:val="0"/>
          <w:color w:val="333333"/>
          <w:sz w:val="20"/>
        </w:rPr>
        <w:t>outbox_events</w:t>
      </w:r>
      <w:r>
        <w:rPr>
          <w:rFonts w:ascii="Calibri" w:hAnsi="Calibri"/>
          <w:b w:val="0"/>
          <w:i w:val="0"/>
          <w:sz w:val="22"/>
        </w:rPr>
        <w:t xml:space="preserve"> é parte central do modelo de dados e deve ser monitorada continuamente; acúmulo de eventos não processados indica problema no ITEC ou no worker.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worker de polling deve implementar backoff exponencial com teto (ex.: máximo de 30 minutos entre tentativas) e alertas quando eventos ficam pendentes por tempo superior ao SLA acordado com o ITEC.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Eventos com falha persistente após N tentativas devem ser movidos para uma fila de dead-letter auditável, sem descarte silencioso.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Decisão GDE-004 — Estratégia de leitura para o endpoint GET /clientes/{cpf}</w:t>
      </w:r>
    </w:p>
    <w:p>
      <w:pPr>
        <w:pStyle w:val="Heading2"/>
        <w:keepNext/>
        <w:keepLines/>
      </w:pPr>
      <w:r>
        <w:t>1. Contexto / problema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endpoint </w:t>
      </w:r>
      <w:r>
        <w:rPr>
          <w:rFonts w:ascii="Courier New" w:hAnsi="Courier New"/>
          <w:b w:val="0"/>
          <w:i w:val="0"/>
          <w:color w:val="333333"/>
          <w:sz w:val="20"/>
        </w:rPr>
        <w:t>GET /clientes/{cpf}</w:t>
      </w:r>
      <w:r>
        <w:rPr>
          <w:rFonts w:ascii="Calibri" w:hAnsi="Calibri"/>
          <w:b w:val="0"/>
          <w:i w:val="0"/>
          <w:sz w:val="22"/>
        </w:rPr>
        <w:t xml:space="preserve"> é o mais crítico do sistema: é chamado por PDV, Balcão, Call Center e OMNI simultaneamente, com volume estimado de 500 req/s e SLA de latência p95 ≤ 200ms. O desafio é definir a estratégia de acesso a dados para leitura que atenda ao SLA sem over-engineering.</w:t>
      </w:r>
    </w:p>
    <w:p>
      <w:pPr>
        <w:pStyle w:val="Heading2"/>
        <w:keepNext/>
        <w:keepLines/>
      </w:pPr>
      <w:r>
        <w:t>2. Alternativas avaliadas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Alternativa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CQRS light — Dapper para leitura, EF Core para escrita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Separação lógica de responsabilidades no mesmo banco: EF Core (com change tracking e validações de domínio) para operações de escrita; Dapper (SQL direto, sem overhead de ORM) para operações de leitura. Sem banco separado.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EF Core puro para leitura e escrita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Utilizar EF Core com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.AsNoTracking()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para leitura. Reduz a complexidade de ter dois ORMs, mas mantém o overhead do mapeamento do EF Core mesmo nas leituras.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CQRS completo com banco de leitura separado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Banco de dados separado (ex.: réplica de leitura ou Redis) para o lado de consulta. Máxima performance de leitura, mas com eventual consistency e complexidade de sincronização.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 Critérios de decisão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Latência p95 ≤ 200ms no GET /clientes/{cpf} sob 500 req/s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Simplicidade de implementação e manutenção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Consistência de dados (leitura imediatamente após escrita)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Custo de infraestrutura adicional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 de onboarding para novos desenvolvedores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4. Avaliação (matriz de decisão)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 — CQRS light (Dapper leitura)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 — EF Core puro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 — CQRS completo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Latência p95 ≤ 200ms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 probabilidade — Dapper executa SQL direto sem overhead de materialização de grafo de objetos; lookup por PK (CPF) em PostgreSQL é sub-milissegundo no banco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Média —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.AsNoTracking()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reduz overhead, mas o mapeamento do EF Core ainda é mais lento que Dapper raw SQL para queries simples em alta frequência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Máxima — banco de leitura dedicado ou cache; mas introduce eventual consistency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Simplicidade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 — dois ORMs no mesmo projeto, mas o padrão é amplamente conhecido; separação clara de responsabilidades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Máxima — um único ORM para tudo; menor superfície de código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 — sincronização entre bancos, projeções de read models, gestão de lag de replicação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Consistência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Forte — leitura no mesmo banco; dado está disponível imediatamente após commit da escrita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Forte — mesmo banco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Eventual — réplica pode ter lag; leitura imediatamente após escrita pode retornar dado desatualizado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Custo de infraestrutura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 adicional — mesmo banco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 adicional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Adicional — réplica de leitura ou Redis; custo mensal recorrente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Onboarding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 — requer entendimento do padrão CQRS light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Baixo — todos conhecem EF Core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 — CQRS completo é o padrão mais complexo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Avaliação geral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Melhor equilíbrio: performance de leitura próxima ao ótimo sem infraestrutura adicional e com consistência forte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Adequado para volumes menores; risco de não atingir p95 ≤ 200ms sob 500 req/s em pico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Over-engineering para o contexto atual; eventual consistency incompatível com o uso em PDV em tempo real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5. Decisão tomada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Alternativa A — CQRS light: Dapper para leitura, EF Core para escrita.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SLA de latência (p95 ≤ 200ms a 500 req/s) é o requisito não-funcional mais crítico do sistema. O Dapper executa SQL parametrizado diretamente, eliminando o overhead de materialização de grafo de entidades do EF Core nas leituras de alta frequência. A consistência forte (mesmo banco) é indispensável para o PDV, que lê imediatamente após qualquer atualização de cadastro. O CQRS completo com banco separado introduziria complexidade e custo desproporcionais ao benefício marginal.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Responsável pela aprovação:</w:t>
      </w:r>
      <w:r>
        <w:rPr>
          <w:rFonts w:ascii="Calibri" w:hAnsi="Calibri"/>
          <w:b w:val="0"/>
          <w:i w:val="0"/>
          <w:sz w:val="22"/>
        </w:rPr>
        <w:t xml:space="preserve"> Cézar Hiraki Velázquez (Tech Lead — Timeware)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Data da decisão:</w:t>
      </w:r>
      <w:r>
        <w:rPr>
          <w:rFonts w:ascii="Calibri" w:hAnsi="Calibri"/>
          <w:b w:val="0"/>
          <w:i w:val="0"/>
          <w:sz w:val="22"/>
        </w:rPr>
        <w:t xml:space="preserve"> 16/05/2025</w:t>
      </w:r>
    </w:p>
    <w:p>
      <w:pPr>
        <w:pStyle w:val="Heading2"/>
        <w:keepNext/>
        <w:keepLines/>
      </w:pPr>
      <w:r>
        <w:t>6. Consequências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As queries de leitura são escritas em SQL parametrizado via Dapper e residem em repositórios de leitura (</w:t>
      </w:r>
      <w:r>
        <w:rPr>
          <w:rFonts w:ascii="Courier New" w:hAnsi="Courier New"/>
          <w:b w:val="0"/>
          <w:i w:val="0"/>
          <w:color w:val="333333"/>
          <w:sz w:val="20"/>
        </w:rPr>
        <w:t>IClienteReadRepository</w:t>
      </w:r>
      <w:r>
        <w:rPr>
          <w:rFonts w:ascii="Calibri" w:hAnsi="Calibri"/>
          <w:b w:val="0"/>
          <w:i w:val="0"/>
          <w:sz w:val="22"/>
        </w:rPr>
        <w:t>), separados dos repositórios de escrita EF Core.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Mudanças no schema do banco impactam tanto os repositórios EF Core quanto as queries Dapper — revisão de ambos é obrigatória em migrações de schema.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resultado de medição obtido em produção foi p95 de 142ms, 29% abaixo do limite de 200ms, confirmando a adequação da decisão.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Decisão GDE-005 — Integração com Propz CRM</w:t>
      </w:r>
    </w:p>
    <w:p>
      <w:pPr>
        <w:pStyle w:val="Heading2"/>
        <w:keepNext/>
        <w:keepLines/>
      </w:pPr>
      <w:r>
        <w:t>1. Contexto / problema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Propz CRM é a plataforma de relacionamento e fidelidade da Rede D1000. A integração exige sincronizar os dados cadastrais dos ~7 milhões de CPFs da base, além de enviar atualizações incrementais em tempo operacional. O Propz opera de forma assíncrona e tem SLA de processamento que não admite chamadas síncronas de alta frequência. A estratégia de integração foi inicialmente adiada e formalizada via Change Request (CR-07) em agosto de 2025.</w:t>
      </w:r>
    </w:p>
    <w:p>
      <w:pPr>
        <w:pStyle w:val="Heading2"/>
        <w:keepNext/>
        <w:keepLines/>
      </w:pPr>
      <w:r>
        <w:t>2. Alternativas avaliadas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Alternativa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Service Bus com worker dedicado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 evento de criação/atualização de cliente é publicado em uma fila do Azure Service Bus. Um worker dedicado consome a fila e envia os dados ao Propz via API. Carga inicial via publicação em lote na fila.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Webhook REST síncrono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cada cadastro ou atualização, a API chama diretamente o endpoint do Propz de forma síncrona dentro da mesma request.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Polling batch diário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Um job noturno exporta os registros modificados no dia e envia em lote ao Propz via API de importação.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 Critérios de decisão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Capacidade de processar a carga inicial de 7M de CPFs sem degradar o sistema principal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 com o SLA assíncrono do Propz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Desacoplamento: falha no Propz não afeta o cadastro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Latência de sincronização (tempo entre cadastro e disponibilidade no Propz)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Complexidade de implementação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4. Avaliação (matriz de decisão)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 — Azure Service Bus + worker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 — Webhook REST síncrono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 — Polling batch diário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Carga inicial de 7M CPFs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Excelente — publicação controlada na fila com rate limiting no worker; Propz processa no seu ritmo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Inviável — 7M chamadas síncronas saturariam o Propz e o sistema de cadastro; timeout em larga escala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Adequado — batch noturno pode distribuir a carga inicial, mas processo demora dias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 com SLA do Propz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Total — o worker respeita o rate limit da API Propz; mensagens não processadas ficam na fila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Incompatível — Propz não garante resposta síncrona em alta frequência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 — batch é assíncrono por natureza, mas sincronização é diária, não em tempo quase real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Desacoplamento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Total — falha no Propz acumula mensagens na fila sem afetar o cadastro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 — falha no Propz falha a request de cadastro ou exige timeout agressivo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Total — o job é independente do fluxo de cadastro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Latência de sincronização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 — minutos em condição normal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Mínima — síncrono, mas inviável em escala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 — até 24h de defasagem; inaceitável para campanhas em tempo real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Complexidade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 — requer infraestrutura de Service Bus e worker, mas padrão já existente no projeto (outbox)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 — mas inadequada para o volume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 — mas limitada funcionalmente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Avaliação geral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Única opção viável: combina desacoplamento, escalabilidade para 7M CPFs e sincronização em tempo quase real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Inviável em escala para a carga inicial e operação contínua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Funcional apenas para sincronização diária; incompatível com o caso de uso de campanha em tempo real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5. Decisão tomada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Alternativa A — Azure Service Bus com worker dedicado.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Azure Service Bus é a única alternativa que suporta simultaneamente a carga inicial de 7 milhões de CPFs (com controle de throughput no worker), o SLA assíncrono do Propz e o desacoplamento operacional necessário. O padrão de worker com Service Bus já estava estabelecido no projeto (integração ITEC via outbox), reduzindo o esforço de implementação. Formalizado no CR-07 após alinhamento com o time de TI do Propz sobre o protocolo de integração.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Responsável pela aprovação:</w:t>
      </w:r>
      <w:r>
        <w:rPr>
          <w:rFonts w:ascii="Calibri" w:hAnsi="Calibri"/>
          <w:b w:val="0"/>
          <w:i w:val="0"/>
          <w:sz w:val="22"/>
        </w:rPr>
        <w:t xml:space="preserve"> Armando Junior (Tech Lead / Gestor de TI — Rede D1000)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Data da decisão:</w:t>
      </w:r>
      <w:r>
        <w:rPr>
          <w:rFonts w:ascii="Calibri" w:hAnsi="Calibri"/>
          <w:b w:val="0"/>
          <w:i w:val="0"/>
          <w:sz w:val="22"/>
        </w:rPr>
        <w:t xml:space="preserve"> 15/08/2025 (CR-07)</w:t>
      </w:r>
    </w:p>
    <w:p>
      <w:pPr>
        <w:pStyle w:val="Heading2"/>
        <w:keepNext/>
        <w:keepLines/>
      </w:pPr>
      <w:r>
        <w:t>6. Consequências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Um worker dedicado ao Propz (</w:t>
      </w:r>
      <w:r>
        <w:rPr>
          <w:rFonts w:ascii="Courier New" w:hAnsi="Courier New"/>
          <w:b w:val="0"/>
          <w:i w:val="0"/>
          <w:color w:val="333333"/>
          <w:sz w:val="20"/>
        </w:rPr>
        <w:t>PropzSyncWorker</w:t>
      </w:r>
      <w:r>
        <w:rPr>
          <w:rFonts w:ascii="Calibri" w:hAnsi="Calibri"/>
          <w:b w:val="0"/>
          <w:i w:val="0"/>
          <w:sz w:val="22"/>
        </w:rPr>
        <w:t>) consome o Azure Service Bus e gerencia o rate limit da API Propz de forma independente dos demais workers do sistema.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carga inicial de 7M CPFs é realizada via publicação em lote controlado na fila, sem impacto no sistema principal de cadastro em operação.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Mensagens rejeitadas pela API Propz (ex.: CPF inválido no contexto do CRM) são movidas para dead-letter queue e auditadas separadamente, sem bloquear a fila principal.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cinco decisões de arquitetura registradas: banco de dados, chave primária, integração ITEC, estratégia de leitura e integração Propz CRM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GDE-PROFARMA01-001</w:t>
    </w:r>
    <w:r>
      <w:tab/>
    </w:r>
    <w:r>
      <w:rPr>
        <w:rFonts w:ascii="Calibri" w:hAnsi="Calibri"/>
        <w:color w:val="555555"/>
        <w:sz w:val="18"/>
      </w:rPr>
      <w:t>Gerência de Decisões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