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TERMO DE ENCERRAMENTO DO PROJETO — REDE D1000 · CADASTRO DE CLIENTES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TAE-PROFARMA01-001   ·   Versão 1.0   ·   29/01/2026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TAE-PROFARMA01-001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—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Squad D1000 Loja — alocação de 3 Dev Pleno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de encerramento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 — encerramento)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Sumário executivo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Cadastro de Clientes — Rede D1000 foi desenvolvido de abril de 2025 a janeiro de 2026 pela equipe Timeware em regime de squad mensalizado (3 Dev Pleno). O objetivo era substituir a gestão de cadastro dispersa no sistema legado ITEC por uma API RESTful cloud-native em .NET 8, com PostgreSQL no Azure, CPF como chave primária única e integração a todos os canais da rede.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concluído com a entrega de 16 endpoints de API, 273 testes unitários, integração com ITEC, VTEX, Call Center, Propz CRM, PBM/Interplayers, BlueSoft e CloseUp, além do piloto operacional na loja 9 cobrindo os canais PDV, Balcão e OMNI.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Entregáveis concluídos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Entregável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aceite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de Cadastro de Clientes (.NET 8 / Clean Architecture)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Banco de dados PostgreSQL (Azure) — esquema, índices, migrations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 endpoints REST documentados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 cenários de teste unitário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ITEC (outbox pattern + worker)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7 / Julho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VTEX (canal OMNI)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 / Agosto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Call Center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9 / Agosto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Propz CRM (Service Bus)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PBM / Interplayers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11 / Setembro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BlueSoft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11 / Setembro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CloseUp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12 / Outubro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 de expurgo LGPD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10 / Setembro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da base (~7 milhões de CPFs)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13 / Outubro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Deploy em AKS (Azure Kubernetes Service)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Pipelines CI/CD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5 / Junho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 via Datadog (APM, logs, alertas)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Outubro 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Piloto na loja 9 (PDV, Balcão, OMNI)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Janeiro 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técnica (design, APIs, IaC)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Escopo não executado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Motivo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Modernização dos aplicativos D1000 Express e Connect D1000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do escopo contratado — objeto de contrato separado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de novos módulos do ITEC legado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do escopo contratado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Sustentação pós-piloto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Objeto de contrato futuro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Rollout geral para toda a rede (demais lojas)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Fora do escopo deste projeto — a ser executado com apoio da equipe D1000 após este encerramento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Indicadores finais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 (início dos sprints — primeiras reuniões de design em 17/03)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Encerramento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Setembro/2025 (inicial) → Janeiro/2026 (revisado)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Sprints realizados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 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Endpoints entregues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 unitários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273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 absorvidos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 change requests formais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Incidentes críticos (S1) no piloto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Integrações com sistemas satélites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 (ITEC, VTEX, Propz, PBM, BlueSoft, CloseUp) + Call Center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Variâncias em relação ao plano original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Planejado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Realizado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 de encerramento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Setembro/2025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Janeiro/2026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Aumento de escopo (integrações BlueSoft, CloseUp, worker LGPD), atraso no ambiente de homologação, lead time GMUD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de integrações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ITEC, VTEX, Call Center, PBM, Propz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+ BlueSoft, CloseUp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 aprovados no Sprint 6–8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dos sprints de desenvolvimento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28/04/2025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Alinhamentos técnicos com a D1000 sobre o legado ITEC; acessos Azure liberados com atraso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Formato de backlog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Informal (sprints 1–3)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a partir do Sprint 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Adoção gradual da ferramenta pelo cliente D1000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Principais riscos materializados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foi gerenciado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homologação AKS disponível com atraso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em ambiente local por 2,5 meses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Docker Compose local; identificação de problemas de ambiente adiada para homologação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 de API de sistemas satélites indisponíveis no início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Adição de escopo nos Sprints 6–8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Change requests formais; replanejamento dos sprints afetados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Lead time GMUD adicionou tempo aos ciclos de release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Compressão do tempo disponível para correções pré-prazo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 antecipado das janelas de GMUD nas sprints finais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do ITEC inexistente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adicional não planejado nos Sprints 2–4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Engenharia reversa do legado com apoio de Alexandre Henrique (D1000)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Saneamento da base legada iterativo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Carga inicial levou 3 semanas a mais do que o planejado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Múltiplas rodadas de extração → validação → correção com DBA Marcus Ribeiro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Lições aprendidas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Referência ao documento completo: </w:t>
      </w:r>
      <w:r>
        <w:rPr>
          <w:rFonts w:ascii="Courier New" w:hAnsi="Courier New"/>
          <w:b w:val="0"/>
          <w:i w:val="0"/>
          <w:color w:val="333333"/>
          <w:sz w:val="20"/>
        </w:rPr>
        <w:t>LI-PROFARMA01-001_Licoes-Aprendidas.md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Principais pontos: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Outbox pattern mostrou-se decisão arquitetural estratégica correta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Piloto na loja 9 foi essencial para validação em condições reais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Requisitos de integração com sistemas satélites devem ser mapeados no discovery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GMUD deve ser incluído nas estimativas de prazo desde o início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Documentação de legado deve ser tratada como subprojeto com entregável próprio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e pós-projeto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código-fonte está nos repositórios do Azure DevOps da D1000 (</w:t>
      </w:r>
      <w:r>
        <w:rPr>
          <w:rFonts w:ascii="Courier New" w:hAnsi="Courier New"/>
          <w:b w:val="0"/>
          <w:i w:val="0"/>
          <w:color w:val="333333"/>
          <w:sz w:val="20"/>
        </w:rPr>
        <w:t>profarma.visualstudio.com/rede-d1000/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documentação técnica foi entregue ao cliente no pacote de encerramento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ambiente AKS em produção está sob controle da equipe de Operações D1000 (Fagner Pereira)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monitoramento Datadog está configurado e com alertas ativos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sustentação pós-piloto é objeto de contrato futuro entre Profarma/D1000 e Timeware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Aceite formal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Humberto Erler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TI — Rede D1000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formal via Microsoft Teams / e-mail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Helena Moreira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Coordenadora de Projeto — Rede D1000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formal via Microsoft Teams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29/01/2026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do projeto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Encerramento das atividades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Com a emissão deste termo: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projeto Cadastro de Clientes — Rede D1000 está </w:t>
      </w:r>
      <w:r>
        <w:rPr>
          <w:rFonts w:ascii="Calibri" w:hAnsi="Calibri"/>
          <w:b/>
          <w:i w:val="0"/>
          <w:sz w:val="22"/>
        </w:rPr>
        <w:t>formalmente encerrado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equipe Timeware é liberada das obrigações deste escopo específico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Quaisquer novas demandas são tratadas como novo contrato ou aditivo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reconstituída com base nos registros do projeto e aceite de 29/01/2026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29/01/2026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29/01/2026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TAE-PROFARMA01-001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