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PROJETO — FUNDAÇÃO TECNOLÓGICA GASMIG · OS-PARCELA-002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PLA-GASMIG02-002   ·   Versão Data   ·   04/06/2026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PLA-GASMIG02-002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Companhia de Gás de Minas Gerais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de APIs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e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Completar a Fundação Tecnológica de Integração da GASMIG com gestão de secrets (Azure Key Vault), autenticação OAuth 2.0 e API Keys, versionamento, ciclo de vida de APIs, monitoramento, alertas, ajuste fino de segurança e homologação end-to-end. Ao encerramento desta OS, a fundação estará completamente operacional.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Detalhamento: ver </w:t>
      </w:r>
      <w:r>
        <w:rPr>
          <w:rFonts w:ascii="Courier New" w:hAnsi="Courier New"/>
          <w:b w:val="0"/>
          <w:i w:val="0"/>
          <w:color w:val="333333"/>
          <w:sz w:val="20"/>
        </w:rPr>
        <w:t>REQ-GASMIG02-002_Documento-de-Requisitos-OS002.md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(GPR 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  <w:r>
        <w:rPr>
          <w:rFonts w:ascii="Calibri" w:hAnsi="Calibri"/>
          <w:b w:val="0"/>
          <w:i w:val="0"/>
          <w:sz w:val="22"/>
        </w:rPr>
        <w:t xml:space="preserve"> RF-11 a RF-19 e RNF-06 a RNF-09 conforme REQ-GASMIG02-002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  <w:r>
        <w:rPr>
          <w:rFonts w:ascii="Calibri" w:hAnsi="Calibri"/>
          <w:b w:val="0"/>
          <w:i w:val="0"/>
          <w:sz w:val="22"/>
        </w:rPr>
        <w:t xml:space="preserve"> desenvolvimento de APIs de negócio; alterações estruturais nos workspaces da OS-001 (exceto ajustes finos de segurança)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Adaptação do processo (GPR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Ver </w:t>
      </w:r>
      <w:r>
        <w:rPr>
          <w:rFonts w:ascii="Courier New" w:hAnsi="Courier New"/>
          <w:b w:val="0"/>
          <w:i w:val="0"/>
          <w:color w:val="333333"/>
          <w:sz w:val="20"/>
        </w:rPr>
        <w:t>ADAP-GASMIG02-002_Registro-de-Adaptacao-OS002.md</w:t>
      </w:r>
      <w:r>
        <w:rPr>
          <w:rFonts w:ascii="Calibri" w:hAnsi="Calibri"/>
          <w:b w:val="0"/>
          <w:i w:val="0"/>
          <w:sz w:val="22"/>
        </w:rPr>
        <w:t>. Mesmas decisões da OS-001 com atenção reforçada em segurança (Key Vault, OAuth 2.0).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Estimativas (GPR 3, 4)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Tamanho estimado:</w:t>
      </w:r>
      <w:r>
        <w:rPr>
          <w:rFonts w:ascii="Calibri" w:hAnsi="Calibri"/>
          <w:b w:val="0"/>
          <w:i w:val="0"/>
          <w:sz w:val="22"/>
        </w:rPr>
        <w:t xml:space="preserve"> 78 story points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Complexidade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Story Points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 — Azure Key Vault + integração APIM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 — OAuth 2.0 (Entra ID + JWT validation)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 — API Keys com controle granular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 — Políticas de versionamento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Baixa-Média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RF-15 — Políticas de ciclo de vida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Baixa-Média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RF-16 — Monitoramento (App Insights + dashboards)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RF-17 — Alertas automatizados (Azure Monitor)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Baixa-Média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RF-18 — CORS + validação de payloads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RF-19 — Homologação end-to-end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Documentação, verificação técnica e sessão de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78 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de referência:</w:t>
      </w:r>
      <w:r>
        <w:rPr>
          <w:rFonts w:ascii="Calibri" w:hAnsi="Calibri"/>
          <w:b w:val="0"/>
          <w:i w:val="0"/>
          <w:sz w:val="22"/>
        </w:rPr>
        <w:t xml:space="preserve"> 56 SP/sprint (mesma base da OS-001 — equipe e configuração equivalentes)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Esforço/prazo estimado:</w:t>
      </w:r>
      <w:r>
        <w:rPr>
          <w:rFonts w:ascii="Calibri" w:hAnsi="Calibri"/>
          <w:b w:val="0"/>
          <w:i w:val="0"/>
          <w:sz w:val="22"/>
        </w:rPr>
        <w:t xml:space="preserve"> ~1,4 sprints / 15 dias corridos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Base histórica:</w:t>
      </w:r>
      <w:r>
        <w:rPr>
          <w:rFonts w:ascii="Calibri" w:hAnsi="Calibri"/>
          <w:b w:val="0"/>
          <w:i w:val="0"/>
          <w:sz w:val="22"/>
        </w:rPr>
        <w:t xml:space="preserve"> OS-PARCELA-001 (velocity observada: 84 SP em 15 dias com a mesma equipe)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Cronograma e marcos (GPR 5)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Convenção de sprint:</w:t>
      </w:r>
      <w:r>
        <w:rPr>
          <w:rFonts w:ascii="Calibri" w:hAnsi="Calibri"/>
          <w:b w:val="0"/>
          <w:i w:val="0"/>
          <w:color w:val="1A5276"/>
          <w:sz w:val="22"/>
        </w:rPr>
        <w:t xml:space="preserve"> a sprint é encerrada na sexta-feira (freeze de configuração); a entrega formal ao cliente e a verificação técnica ocorrem na segunda-feira seguinte; sessão de homologação e encerramento na terça.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prevista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OS-PARCELA-002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 (seg)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 provisionado e integrado ao APIM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 (qui)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 — revisão: Cézar Hiraki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OAuth 2.0 (Entra ID + APIM) funcional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 (ter)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 — revisão: Cézar Hiraki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Keys com controle granular configuradas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03/06/2026 (qua)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 + ciclo de vida configurados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04/06/2026 (qui)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CORS + validação de payload configurados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 (qui)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 integrado + dashboards configurados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 (sex)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Alertas configurados e validados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 (sex)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Freeze de configuração — encerramento da 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06/06/2026 (sex)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OS-002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Cézar Hiraki + entrega formal ao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 (seg)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/ Abraão Oliveira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homologação end-to-end com time técnico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 (ter)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Cézar Hiraki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OS-PARCELA-002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 (ter)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Recursos (GPR 6, 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Dedicação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Foco principal na OS-002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Coordenação, comunicação com GASMIG, encerramento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/ GCO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Key Vault, OAuth 2.0, alertas; verificação técnica 09/06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Engenheiro Azure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 (Key Vault), RF-13 (API Keys), RF-18 (CORS + payload), RF-16 (dashboards)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Engenheiro Azure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 (OAuth 2.0), RF-14 (versionamento), RF-15 (ciclo de vida), RF-17 (alertas)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Ambiente e ferramentas:</w:t>
      </w:r>
      <w:r>
        <w:rPr>
          <w:rFonts w:ascii="Calibri" w:hAnsi="Calibri"/>
          <w:b w:val="0"/>
          <w:i w:val="0"/>
          <w:sz w:val="22"/>
        </w:rPr>
        <w:t xml:space="preserve"> mesmos da OS-001 + Azure Key Vault + Application Insights + Azure Monitor.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Partes interessadas e comunicação (GPR 9)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Mesmas da OS-001. Reunião semanal recorrente (quarta 14h via Teams) mantida como canal principal com o time GASMIG.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Transição (GPR 8)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Ao encerramento desta OS, a Fundação Tecnológica GASMIG estará completa. Toda a documentação técnica (design, IaC, checklist, planos) é entregue ao cliente como parte do pacote de aceite. A fundação passa a ser gerida pelo time de TI GASMIG para receber as futuras APIs de negócio.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Riscos (GPR 10)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Permissões insuficientes no Entra ID para registrar aplicações OAuth 2.0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Verificar e solicitar as permissões necessárias na semana 1; escalar via Sérgio Villaça se necessário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Thresholds de alerta não definidos pelo time GASMIG a tempo, bloqueando a configuração do Azure Monitor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Usar valores padrão de mercado como default; solicitar definição formal na semana 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Complexidade do fluxo OAuth 2.0 com o Entra ID da GASMIG excede a estimativa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Iniciar pela validação do fluxo básico de token; reservar um dia adicional de buffer se necessário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de escopo na homologação end-to-end (cliente identifica necessidade de ajustes não previstos)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Delimitar claramente o critério de aceite antes da sessão; formalizar via Change Request se necessário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Viabilidade (GPR 11)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Projeto viável. A equipe executa em continuidade à OS-001, com ambiente já configurado e acessos provisionados. O escopo é conhecido e bem delimitado. A velocidade observada na OS-001 (84 SP em ~15 dias) confirma capacidade para 78 SP neste prazo.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Aprovação do Plano (GPR 13)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Gestor do Contrato — GASMIG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(escopo acordado desde 29/04/2026; OS-002 iniciada após aceite OS-001)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TAE-GASMIG02-001 / ATA-GASMIG02-002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— 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baseline aprovada no kickoff da OS-002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de recursos (Fernando Oliveira e Henry Komatsu como engenheiros executores); cronograma detalhado com responsáveis por marco e convenção de sprint (freeze sexta / entrega segunda)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04/06/2026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04/06/2026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PLA-GASMIG02-002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