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FUNDAÇÃO TECNOLÓGICA GASMIG ·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RF-11   ·   Versão Data   ·   26/05/2026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RASTR-GASMIG02-002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Complementa </w:t>
      </w:r>
      <w:r>
        <w:rPr>
          <w:rFonts w:ascii="Courier New" w:hAnsi="Courier New"/>
          <w:b w:val="0"/>
          <w:i w:val="0"/>
          <w:color w:val="1A5276"/>
          <w:sz w:val="20"/>
        </w:rPr>
        <w:t>RASTR-GASMIG02-001_Matriz-de-Rastreabilidade.md</w:t>
      </w:r>
      <w:r>
        <w:rPr>
          <w:rFonts w:ascii="Calibri" w:hAnsi="Calibri"/>
          <w:b w:val="0"/>
          <w:i w:val="0"/>
          <w:color w:val="1A5276"/>
          <w:sz w:val="22"/>
        </w:rPr>
        <w:t>. Cobre os requisitos RF-11 a RF-19 e RNF-06 a RNF-09 da OS-PARCELA-002.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Matriz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do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design (PCP-GASMIG02-002)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configuração (entregável Azure)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Checklist de verificação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Secrets e credenciais fora do código de configuração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+ Managed Identity APIM; named values como Key Vault references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Key Vault provisionado; named values migrados para Key Vault references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RF-11 / RNF-06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moderna OAuth 2.0 por workspace/API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App Registration Entra ID; política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validate-jwt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workspace e por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 Registration criada; validate-jwt ativa; fluxo OAuth funcional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OAuth (200/401)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Keys com controle granular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subscription key por operação; coexistência com OAuth 2.0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API Key em nível de operação configuradas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API Key (200/401)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de APIs sem breaking changes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APIM Versions (path-based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/v1/</w:t>
            </w:r>
            <w:r>
              <w:rPr>
                <w:rFonts w:ascii="Calibri" w:hAnsi="Calibri"/>
                <w:b w:val="0"/>
                <w:i w:val="0"/>
                <w:sz w:val="20"/>
              </w:rPr>
              <w:t>); APIM Revisions para minor changes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Versions e Revisions configuradas; roteamento correto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RF-14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do ciclo de vida das APIs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Estados de API (Preview/Current/Deprecated/Retired); deprecation header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Estados aplicados; política de aviso de deprecation configurada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RF-15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Visibilidade operacional da plataforma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logger; dashboards Azure Monitor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integrado; dashboards de volumetria/latência/erros ativos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visual dashboards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Alertas proativos de degradação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alerta Azure Monitor; Action Group GASMIG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alerta ativas; Action Group configurado; alerta disparado em ≤ 5 min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disparo de alerta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segurança refinadas por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Política CORS por API; política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validate-content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para payloads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CORS configurado por API; validate-content ativo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CORS (403) + payload (400)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end-to-end da fundação completa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homologação cobrindo OS-001 + OS-002 integralmente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completa — todos os componentes operacionais validados conjuntamente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homologação com GASMIG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secret hard-coded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named values como Key Vault references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configuração — zero valores sensíveis hard-coded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configuração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 conforme RFC 6749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validate-jwt com Entra ID como IdP conforme padrão OAuth 2.0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 Registration + validate-jwt policy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OAuth (200/401)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Retenção de dados de monitoramento ≥ 30 dias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retenção Application Insights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Retenção configurada para ≥ 30 dias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retenção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Alertas disparados em ≤ 5 minutos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Frequência de avaliação das regras: 5 minutos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com período de avaliação ≤ 5 min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da configuração da regra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Cobertura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Requisitos sem cobertura de verificação:</w:t>
      </w:r>
      <w:r>
        <w:rPr>
          <w:rFonts w:ascii="Calibri" w:hAnsi="Calibri"/>
          <w:b w:val="0"/>
          <w:i w:val="0"/>
          <w:sz w:val="22"/>
        </w:rPr>
        <w:t xml:space="preserve"> nenhum — todos os RF e RNF têm checklist ou smoke check associado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Itens configurados sem requisito associado:</w:t>
      </w:r>
      <w:r>
        <w:rPr>
          <w:rFonts w:ascii="Calibri" w:hAnsi="Calibri"/>
          <w:b w:val="0"/>
          <w:i w:val="0"/>
          <w:sz w:val="22"/>
        </w:rPr>
        <w:t xml:space="preserve"> nenhum previsto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Dependências com OS-001:</w:t>
      </w:r>
      <w:r>
        <w:rPr>
          <w:rFonts w:ascii="Calibri" w:hAnsi="Calibri"/>
          <w:b w:val="0"/>
          <w:i w:val="0"/>
          <w:sz w:val="22"/>
        </w:rPr>
        <w:t xml:space="preserve"> RF-19 (homologação end-to-end) abrange também todos os RF-01 a RF-10 da OS-001; a aprovação desta OS confirma a cobertura completa da fundação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Lacunas a preencher durante a execução:</w:t>
      </w:r>
      <w:r>
        <w:rPr>
          <w:rFonts w:ascii="Calibri" w:hAnsi="Calibri"/>
          <w:b w:val="0"/>
          <w:i w:val="0"/>
          <w:sz w:val="22"/>
        </w:rPr>
        <w:t xml:space="preserve"> thresholds numéricos dos alertas (RF-17) e origens CORS permitidas por API (RF-18) serão definidos com a GASMIG e registrados nos respectivos named values e políticas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RF-11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