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top w:val="single" w:sz="32" w:space="0" w:color="003366"/>
        </w:pBdr>
        <w:spacing w:before="0" w:after="0"/>
      </w:pPr>
    </w:p>
    <w:p>
      <w:pPr>
        <w:spacing w:before="240" w:after="40"/>
      </w:pPr>
      <w:r>
        <w:rPr>
          <w:rFonts w:ascii="Calibri" w:hAnsi="Calibri"/>
          <w:b/>
          <w:color w:val="003366"/>
          <w:sz w:val="36"/>
        </w:rPr>
        <w:t>REGISTRO DE VERIFICAÇÃO TÉCNICA DA CONFIGURAÇÃO — FUNDAÇÃO TECNOLÓGICA GASMIG · OS-PARCELA-001</w:t>
      </w:r>
    </w:p>
    <w:p>
      <w:pPr>
        <w:spacing w:before="0" w:after="40"/>
      </w:pPr>
      <w:r>
        <w:rPr>
          <w:rFonts w:ascii="Calibri" w:hAnsi="Calibri"/>
          <w:color w:val="555555"/>
          <w:sz w:val="20"/>
        </w:rPr>
        <w:t>REV-GASMIG02-001   ·   Versão Data   ·   18/05/2026   ·   Timeware Brasil</w:t>
      </w:r>
    </w:p>
    <w:p>
      <w:pPr>
        <w:pBdr>
          <w:bottom w:val="single" w:sz="6" w:space="1" w:color="003366"/>
        </w:pBdr>
        <w:spacing w:before="120" w:after="28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Campo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Valor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Documento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REV-GASMIG02-001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Projeto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Fundação Tecnológica GASMIG — OS-PARCELA-001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Versão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1.0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 da verificação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18/05/2026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Responsável pela verificação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Cézar Hiraki (Tech Lead / Arquiteto)</w:t>
            </w:r>
          </w:p>
        </w:tc>
      </w:tr>
    </w:tbl>
    <w:p>
      <w:pPr>
        <w:spacing w:before="0" w:after="160"/>
      </w:pPr>
    </w:p>
    <w:p>
      <w:pPr>
        <w:spacing w:before="40" w:after="120"/>
        <w:ind w:left="454"/>
        <w:pBdr>
          <w:left w:val="single" w:sz="12" w:space="8" w:color="003366"/>
        </w:pBdr>
      </w:pPr>
      <w:r>
        <w:rPr>
          <w:rFonts w:ascii="Calibri" w:hAnsi="Calibri"/>
          <w:b w:val="0"/>
          <w:i w:val="0"/>
          <w:color w:val="1A5276"/>
          <w:sz w:val="22"/>
        </w:rPr>
        <w:t>Evidência de que a configuração foi revisada tecnicamente antes do aceite do cliente, conforme VV-GASMIG02-001 seção 3. Verificação realizada ao final da reunião de 18/05/2026 com demonstração ao vivo do portal Azure para Sérgio Villaça (GASMIG).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Resultado da verificação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Status geral:</w:t>
      </w:r>
      <w:r>
        <w:rPr>
          <w:rFonts w:ascii="Calibri" w:hAnsi="Calibri"/>
          <w:b w:val="0"/>
          <w:i w:val="0"/>
          <w:sz w:val="22"/>
        </w:rPr>
        <w:t xml:space="preserve"> ✅ Aprovado — todos os itens verificados. Configuração apresentada ao cliente em sessão ao vivo no portal Azure.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Checklist de Verificação</w:t>
      </w:r>
    </w:p>
    <w:p>
      <w:pPr>
        <w:pStyle w:val="Heading2"/>
        <w:keepNext/>
        <w:keepLines/>
      </w:pPr>
      <w:r>
        <w:t>Governança e estrutura global (RF-01)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967"/>
        <w:gridCol w:w="2967"/>
        <w:gridCol w:w="2967"/>
      </w:tblGrid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Item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Verificado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Evidência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Instância APIM provisionada no tenant GASMIG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Portal Azure — APIM ativo, demonstrado ao vivo em reunião 18/05/2026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Estrutura de produtos criada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prod-gasmig-interno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,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prod-gasmig-externo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,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prod-gasmig-sandbox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visíveis no portal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Grupos de usuários configurados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Grupos interno, externo e administradores configurados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Políticas globais aplicadas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HTTPS enforced, headers de segurança ativos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Named values configurados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Thresholds e variáveis globais configurados como named values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Policy fragments criados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pf-ratelimit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e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pf-throttle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aplicados</w:t>
            </w:r>
          </w:p>
        </w:tc>
      </w:tr>
    </w:tbl>
    <w:p>
      <w:pPr>
        <w:spacing w:before="0" w:after="160"/>
      </w:pPr>
    </w:p>
    <w:p>
      <w:pPr>
        <w:pStyle w:val="Heading2"/>
        <w:keepNext/>
        <w:keepLines/>
      </w:pPr>
      <w:r>
        <w:t>Controle de acesso (RF-02)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967"/>
        <w:gridCol w:w="2967"/>
        <w:gridCol w:w="2967"/>
      </w:tblGrid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Item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Verificado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Evidência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TTL de subscription keys configurado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Expiração configurada nas assinaturas — visível no portal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Fluxo de renovação documentado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Processo documentado e repassado ao time GASMIG</w:t>
            </w:r>
          </w:p>
        </w:tc>
      </w:tr>
    </w:tbl>
    <w:p>
      <w:pPr>
        <w:spacing w:before="0" w:after="160"/>
      </w:pPr>
    </w:p>
    <w:p>
      <w:pPr>
        <w:pStyle w:val="Heading2"/>
        <w:keepNext/>
        <w:keepLines/>
      </w:pPr>
      <w:r>
        <w:t>Barreiras de segurança — acesso interno (RF-03)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967"/>
        <w:gridCol w:w="2967"/>
        <w:gridCol w:w="2967"/>
      </w:tblGrid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Item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Verificado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Evidência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Política de restrição de IP no produto interno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IP restriction configurada no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prod-gasmig-interno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Smoke check — IP interno autorizado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Verificado no portal Azure via APIM Test Console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Smoke check — IP externo bloqueado (403)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Verificado no portal Azure</w:t>
            </w:r>
          </w:p>
        </w:tc>
      </w:tr>
    </w:tbl>
    <w:p>
      <w:pPr>
        <w:spacing w:before="0" w:after="160"/>
      </w:pPr>
    </w:p>
    <w:p>
      <w:pPr>
        <w:pStyle w:val="Heading2"/>
        <w:keepNext/>
        <w:keepLines/>
      </w:pPr>
      <w:r>
        <w:t>Barreiras de segurança — acesso externo (RF-04)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967"/>
        <w:gridCol w:w="2967"/>
        <w:gridCol w:w="2967"/>
      </w:tblGrid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Item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Verificado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Evidência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Política de validação de credenciais no produto externo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Política ativa no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prod-gasmig-externo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Smoke check — credencial válida (200)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Verificado via APIM Test Console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Smoke check — credencial inválida (401)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Verificado via APIM Test Console</w:t>
            </w:r>
          </w:p>
        </w:tc>
      </w:tr>
    </w:tbl>
    <w:p>
      <w:pPr>
        <w:spacing w:before="0" w:after="160"/>
      </w:pPr>
    </w:p>
    <w:p>
      <w:pPr>
        <w:pStyle w:val="Heading2"/>
        <w:keepNext/>
        <w:keepLines/>
      </w:pPr>
      <w:r>
        <w:t>Ambiente de sandbox (RF-05)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967"/>
        <w:gridCol w:w="2967"/>
        <w:gridCol w:w="2967"/>
      </w:tblGrid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Item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Verificado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Evidência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Produto sandbox provisionado com API de exemplo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prod-gasmig-sandbox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ativo com mock de API publicado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Isolamento do ambiente produtivo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Credenciais de sandbox segregadas — verificado no portal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Smoke check — acesso ao sandbox (200)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Chamada a API de exemplo no sandbox: resposta 200</w:t>
            </w:r>
          </w:p>
        </w:tc>
      </w:tr>
    </w:tbl>
    <w:p>
      <w:pPr>
        <w:spacing w:before="0" w:after="160"/>
      </w:pPr>
    </w:p>
    <w:p>
      <w:pPr>
        <w:pStyle w:val="Heading2"/>
        <w:keepNext/>
        <w:keepLines/>
      </w:pPr>
      <w:r>
        <w:t>Catálogo corporativo / portal do desenvolvedor (RF-06)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967"/>
        <w:gridCol w:w="2967"/>
        <w:gridCol w:w="2967"/>
      </w:tblGrid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Item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Verificado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Evidência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Portal do desenvolvedor ativo e acessível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Demonstrado ao vivo — Sérgio com acesso ao portal em 18/05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Identidade visual GASMIG aplicada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Citado na reunião: </w:t>
            </w:r>
            <w:r>
              <w:rPr>
                <w:rFonts w:ascii="Calibri" w:hAnsi="Calibri"/>
                <w:b w:val="0"/>
                <w:i/>
                <w:sz w:val="20"/>
              </w:rPr>
              <w:t>"tá com a identidade visual da Gasmig e ficou bem bonito"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Visibilidade diferenciada por perfil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Confirmado no portal: perfis interno/externo com visibilidades distintas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SSO Entra ID funcional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Login via conta corporativa GASMIG funcional no portal</w:t>
            </w:r>
          </w:p>
        </w:tc>
      </w:tr>
    </w:tbl>
    <w:p>
      <w:pPr>
        <w:spacing w:before="0" w:after="160"/>
      </w:pPr>
    </w:p>
    <w:p>
      <w:pPr>
        <w:pStyle w:val="Heading2"/>
        <w:keepNext/>
        <w:keepLines/>
      </w:pPr>
      <w:r>
        <w:t>Workspace ArcelorMittal (RF-07)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967"/>
        <w:gridCol w:w="2967"/>
        <w:gridCol w:w="2967"/>
      </w:tblGrid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Item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Verificado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Evidência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Workspace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ws-arcelormittal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criado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Demonstrado na reunião — workspace visível e ativo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Produto e assinaturas configurados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Produto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prod-ws-arcelormittal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+ subscription keys geradas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Isolamento: credencial ArcelorMittal não acessa Usiminas (401)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Verificado no portal Azure</w:t>
            </w:r>
          </w:p>
        </w:tc>
      </w:tr>
    </w:tbl>
    <w:p>
      <w:pPr>
        <w:spacing w:before="0" w:after="160"/>
      </w:pPr>
    </w:p>
    <w:p>
      <w:pPr>
        <w:pStyle w:val="Heading2"/>
        <w:keepNext/>
        <w:keepLines/>
      </w:pPr>
      <w:r>
        <w:t>Workspace Usiminas (RF-08)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967"/>
        <w:gridCol w:w="2967"/>
        <w:gridCol w:w="2967"/>
      </w:tblGrid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Item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Verificado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Evidência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Workspace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ws-usiminas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criado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Demonstrado na reunião — workspace visível e ativo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Produto e assinaturas configurados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Produto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prod-ws-usiminas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+ subscription keys geradas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Isolamento: credencial Usiminas não acessa ArcelorMittal (401)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Verificado no portal Azure</w:t>
            </w:r>
          </w:p>
        </w:tc>
      </w:tr>
    </w:tbl>
    <w:p>
      <w:pPr>
        <w:spacing w:before="0" w:after="160"/>
      </w:pPr>
    </w:p>
    <w:p>
      <w:pPr>
        <w:pStyle w:val="Heading2"/>
        <w:keepNext/>
        <w:keepLines/>
      </w:pPr>
      <w:r>
        <w:t>Rate limiting (RF-09)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967"/>
        <w:gridCol w:w="2967"/>
        <w:gridCol w:w="2967"/>
      </w:tblGrid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Item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Verificado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Evidência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Named values de rate limit configurados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Thresholds configurados como named values por workspace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Policy fragment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pf-ratelimit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aplicado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Fragment referenciado nas políticas dos workspaces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Smoke check — bloqueio ao exceder limite (429)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Verificado via chamadas controladas ao APIM</w:t>
            </w:r>
          </w:p>
        </w:tc>
      </w:tr>
    </w:tbl>
    <w:p>
      <w:pPr>
        <w:spacing w:before="0" w:after="160"/>
      </w:pPr>
    </w:p>
    <w:p>
      <w:pPr>
        <w:pStyle w:val="Heading2"/>
        <w:keepNext/>
        <w:keepLines/>
      </w:pPr>
      <w:r>
        <w:t>Throttling (RF-10)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967"/>
        <w:gridCol w:w="2967"/>
        <w:gridCol w:w="2967"/>
      </w:tblGrid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Item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Verificado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Evidência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Named values de throttle configurados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Thresholds configurados como named values por workspace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Policy fragment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pf-throttle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aplicado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Fragment referenciado nas políticas dos workspaces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Smoke check — comportamento em rajada (429)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Verificado via chamadas em rajada ao APIM</w:t>
            </w:r>
          </w:p>
        </w:tc>
      </w:tr>
    </w:tbl>
    <w:p>
      <w:pPr>
        <w:spacing w:before="0" w:after="160"/>
      </w:pPr>
    </w:p>
    <w:p>
      <w:pPr>
        <w:pStyle w:val="Heading2"/>
        <w:keepNext/>
        <w:keepLines/>
      </w:pPr>
      <w:r>
        <w:t>SSO / Entra ID (RNF-03)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967"/>
        <w:gridCol w:w="2967"/>
        <w:gridCol w:w="2967"/>
      </w:tblGrid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Item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Verificado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Evidência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Provedor de identidade Entra ID configurado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IdP Entra ID (SAML 2.0) configurado no portal APIM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Login com conta GASMIG funcional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Demonstrado em reunião com Sérgio — acesso confirmado</w:t>
            </w:r>
          </w:p>
        </w:tc>
      </w:tr>
    </w:tbl>
    <w:p>
      <w:pPr>
        <w:spacing w:before="0" w:after="160"/>
      </w:pPr>
    </w:p>
    <w:p>
      <w:pPr>
        <w:pStyle w:val="Heading2"/>
        <w:keepNext/>
        <w:keepLines/>
      </w:pPr>
      <w:r>
        <w:t>IaC e versionamento (RNF-05)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967"/>
        <w:gridCol w:w="2967"/>
        <w:gridCol w:w="2967"/>
      </w:tblGrid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Item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Verificado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Evidência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Scripts Bicep/ARM exportados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Configuração exportada como IaC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Repositório Azure DevOps GASMIG configurado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Commits com histórico rastreável no repositório GASMIG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Pendências identificadas na verificação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Nenhuma pendência. Todos os itens verificados e aprovados antes da apresentação ao cliente.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Conclusão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Configuração da OS-PARCELA-001 verificada e aprovada em 18/05/2026. Material de evidência (PDF com capturas de tela) preparado e enviado ao cliente junto com a NF em 18/05/2026 às 18:37.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Histórico de revisões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Versão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Autor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Descrição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1.0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18/05/2026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Cézar Hiraki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Verificação técnica concluída — todos os itens aprovados</w:t>
            </w:r>
          </w:p>
        </w:tc>
      </w:tr>
    </w:tbl>
    <w:p>
      <w:pPr>
        <w:spacing w:before="0" w:after="160"/>
      </w:pPr>
    </w:p>
    <w:sectPr w:rsidR="00FC693F" w:rsidRPr="0006063C" w:rsidSect="00034616">
      <w:headerReference w:type="default" r:id="rId9"/>
      <w:headerReference w:type="first" r:id="rId10"/>
      <w:footerReference w:type="default" r:id="rId11"/>
      <w:footerReference w:type="first" r:id="rId12"/>
      <w:pgSz w:w="11906" w:h="16838"/>
      <w:pgMar w:top="1587" w:right="1417" w:bottom="1417" w:left="158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vData  ·  18/05/2026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vData  ·  18/05/2026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val="right" w:pos="8901"/>
      </w:tabs>
      <w:pBdr>
        <w:bottom w:val="single" w:sz="8" w:space="4" w:color="003366"/>
      </w:pBdr>
      <w:spacing w:before="0" w:after="80"/>
    </w:pPr>
    <w:r>
      <w:rPr>
        <w:rFonts w:ascii="Calibri" w:hAnsi="Calibri"/>
        <w:b/>
        <w:color w:val="003366"/>
        <w:sz w:val="18"/>
      </w:rPr>
      <w:t>TIMEWARE</w:t>
    </w:r>
    <w:r>
      <w:rPr>
        <w:rFonts w:ascii="Calibri" w:hAnsi="Calibri"/>
        <w:color w:val="555555"/>
        <w:sz w:val="18"/>
      </w:rPr>
      <w:t xml:space="preserve">   ·   REV-GASMIG02-001</w:t>
    </w:r>
    <w:r>
      <w:tab/>
    </w:r>
    <w:r>
      <w:rPr>
        <w:rFonts w:ascii="Calibri" w:hAnsi="Calibri"/>
        <w:color w:val="555555"/>
        <w:sz w:val="18"/>
      </w:rPr>
      <w:t>Verificação e Validação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Rule="auto" w:line="276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03366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A5276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Calibri" w:hAnsi="Calibri"/>
      <w:b/>
      <w:bCs/>
      <w:i/>
      <w:color w:val="1A527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