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Índice de Registros do Projeto — AASP_AndamentosProcessuais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INDICE-AASPAP01-001</w:t>
            </w:r>
          </w:p>
        </w:tc>
      </w:tr>
      <w:tr>
        <w:tc>
          <w:tcPr>
            <w:tcW w:type="dxa" w:w="4320"/>
          </w:tcPr>
          <w:p>
            <w:r>
              <w:t>Projeto</w:t>
            </w:r>
          </w:p>
        </w:tc>
        <w:tc>
          <w:tcPr>
            <w:tcW w:type="dxa" w:w="4320"/>
          </w:tcPr>
          <w:p>
            <w:r>
              <w:t>AASP_AndamentosProcessuais — Refatoração da Solução de Captura de Andamentos</w:t>
            </w:r>
          </w:p>
        </w:tc>
      </w:tr>
      <w:tr>
        <w:tc>
          <w:tcPr>
            <w:tcW w:type="dxa" w:w="4320"/>
          </w:tcPr>
          <w:p>
            <w:r>
              <w:t>Código do projeto</w:t>
            </w:r>
          </w:p>
        </w:tc>
        <w:tc>
          <w:tcPr>
            <w:tcW w:type="dxa" w:w="4320"/>
          </w:tcPr>
          <w:p>
            <w:r>
              <w:t>AASPAP01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AASP — Associação dos Advogados de São Paulo</w:t>
            </w:r>
          </w:p>
        </w:tc>
      </w:tr>
      <w:tr>
        <w:tc>
          <w:tcPr>
            <w:tcW w:type="dxa" w:w="4320"/>
          </w:tcPr>
          <w:p>
            <w:r>
              <w:t>Organização</w:t>
            </w:r>
          </w:p>
        </w:tc>
        <w:tc>
          <w:tcPr>
            <w:tcW w:type="dxa" w:w="4320"/>
          </w:tcPr>
          <w:p>
            <w:r>
              <w:t>Timeware Brasil Softwares e Serviços LTDA</w:t>
            </w:r>
          </w:p>
        </w:tc>
      </w:tr>
      <w:tr>
        <w:tc>
          <w:tcPr>
            <w:tcW w:type="dxa" w:w="4320"/>
          </w:tcPr>
          <w:p>
            <w:r>
              <w:t>Versão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16/06/2026</w:t>
            </w:r>
          </w:p>
        </w:tc>
      </w:tr>
      <w:tr>
        <w:tc>
          <w:tcPr>
            <w:tcW w:type="dxa" w:w="4320"/>
          </w:tcPr>
          <w:p>
            <w:r>
              <w:t>Natureza</w:t>
            </w:r>
          </w:p>
        </w:tc>
        <w:tc>
          <w:tcPr>
            <w:tcW w:type="dxa" w:w="4320"/>
          </w:tcPr>
          <w:p>
            <w:r>
              <w:t>Documento de controle / índice — apoio interno. Organiza as evidências do projeto; não é, ele próprio, evidência auditável pela ASR.</w:t>
            </w:r>
          </w:p>
        </w:tc>
      </w:tr>
    </w:tbl>
    <w:p>
      <w:r>
        <w:t>Como usar: mapeia os registros MPS do projeto AASPAP01 e o status de cada um. Execução gerada; encerramento aguarda aceite formal (previsto 30/06/2026).</w:t>
      </w:r>
    </w:p>
    <w:p>
      <w:pPr>
        <w:pStyle w:val="Heading2"/>
      </w:pPr>
      <w:r>
        <w:t>Registros do projeto (gerados)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Documento</w:t>
            </w:r>
          </w:p>
        </w:tc>
        <w:tc>
          <w:tcPr>
            <w:tcW w:type="dxa" w:w="1728"/>
          </w:tcPr>
          <w:p>
            <w:r>
              <w:t>Processo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MQ-AASPAP01-001</w:t>
            </w:r>
          </w:p>
        </w:tc>
        <w:tc>
          <w:tcPr>
            <w:tcW w:type="dxa" w:w="1728"/>
          </w:tcPr>
          <w:p>
            <w:r>
              <w:t>Definição de Metas de Qualidade</w:t>
            </w:r>
          </w:p>
        </w:tc>
        <w:tc>
          <w:tcPr>
            <w:tcW w:type="dxa" w:w="1728"/>
          </w:tcPr>
          <w:p>
            <w:r>
              <w:t>GPC/MED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TAP-AASPAP01-001</w:t>
            </w:r>
          </w:p>
        </w:tc>
        <w:tc>
          <w:tcPr>
            <w:tcW w:type="dxa" w:w="1728"/>
          </w:tcPr>
          <w:p>
            <w:r>
              <w:t>Termo de Abertura</w:t>
            </w:r>
          </w:p>
        </w:tc>
        <w:tc>
          <w:tcPr>
            <w:tcW w:type="dxa" w:w="1728"/>
          </w:tcPr>
          <w:p>
            <w:r>
              <w:t>GPR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PLA-AASPAP01-001</w:t>
            </w:r>
          </w:p>
        </w:tc>
        <w:tc>
          <w:tcPr>
            <w:tcW w:type="dxa" w:w="1728"/>
          </w:tcPr>
          <w:p>
            <w:r>
              <w:t>Plano de Projeto</w:t>
            </w:r>
          </w:p>
        </w:tc>
        <w:tc>
          <w:tcPr>
            <w:tcW w:type="dxa" w:w="1728"/>
          </w:tcPr>
          <w:p>
            <w:r>
              <w:t>GPR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ADAP-AASPAP01-001</w:t>
            </w:r>
          </w:p>
        </w:tc>
        <w:tc>
          <w:tcPr>
            <w:tcW w:type="dxa" w:w="1728"/>
          </w:tcPr>
          <w:p>
            <w:r>
              <w:t>Registro de Adaptação</w:t>
            </w:r>
          </w:p>
        </w:tc>
        <w:tc>
          <w:tcPr>
            <w:tcW w:type="dxa" w:w="1728"/>
          </w:tcPr>
          <w:p>
            <w:r>
              <w:t>GPR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RAC-AASPAP01-001</w:t>
            </w:r>
          </w:p>
        </w:tc>
        <w:tc>
          <w:tcPr>
            <w:tcW w:type="dxa" w:w="1728"/>
          </w:tcPr>
          <w:p>
            <w:r>
              <w:t>Relatório de Acompanhamento</w:t>
            </w:r>
          </w:p>
        </w:tc>
        <w:tc>
          <w:tcPr>
            <w:tcW w:type="dxa" w:w="1728"/>
          </w:tcPr>
          <w:p>
            <w:r>
              <w:t>GPR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ATA-AASPAP01-001</w:t>
            </w:r>
          </w:p>
        </w:tc>
        <w:tc>
          <w:tcPr>
            <w:tcW w:type="dxa" w:w="1728"/>
          </w:tcPr>
          <w:p>
            <w:r>
              <w:t>Ata — Alinhamento do Fluxo CNJ</w:t>
            </w:r>
          </w:p>
        </w:tc>
        <w:tc>
          <w:tcPr>
            <w:tcW w:type="dxa" w:w="1728"/>
          </w:tcPr>
          <w:p>
            <w:r>
              <w:t>ORG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ATA-AASPAP01-002</w:t>
            </w:r>
          </w:p>
        </w:tc>
        <w:tc>
          <w:tcPr>
            <w:tcW w:type="dxa" w:w="1728"/>
          </w:tcPr>
          <w:p>
            <w:r>
              <w:t>Ata de Acompanhamento — Fase 1</w:t>
            </w:r>
          </w:p>
        </w:tc>
        <w:tc>
          <w:tcPr>
            <w:tcW w:type="dxa" w:w="1728"/>
          </w:tcPr>
          <w:p>
            <w:r>
              <w:t>ORG/GPR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ATA-AASPAP01-003</w:t>
            </w:r>
          </w:p>
        </w:tc>
        <w:tc>
          <w:tcPr>
            <w:tcW w:type="dxa" w:w="1728"/>
          </w:tcPr>
          <w:p>
            <w:r>
              <w:t>Ata de Acompanhamento — Fase 2</w:t>
            </w:r>
          </w:p>
        </w:tc>
        <w:tc>
          <w:tcPr>
            <w:tcW w:type="dxa" w:w="1728"/>
          </w:tcPr>
          <w:p>
            <w:r>
              <w:t>ORG/GPR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ATA-AASPAP01-004</w:t>
            </w:r>
          </w:p>
        </w:tc>
        <w:tc>
          <w:tcPr>
            <w:tcW w:type="dxa" w:w="1728"/>
          </w:tcPr>
          <w:p>
            <w:r>
              <w:t>Ata de Acompanhamento — Fase 3</w:t>
            </w:r>
          </w:p>
        </w:tc>
        <w:tc>
          <w:tcPr>
            <w:tcW w:type="dxa" w:w="1728"/>
          </w:tcPr>
          <w:p>
            <w:r>
              <w:t>ORG/GPR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ATA-AASPAP01-005</w:t>
            </w:r>
          </w:p>
        </w:tc>
        <w:tc>
          <w:tcPr>
            <w:tcW w:type="dxa" w:w="1728"/>
          </w:tcPr>
          <w:p>
            <w:r>
              <w:t>Ata de Acompanhamento — Fase 4</w:t>
            </w:r>
          </w:p>
        </w:tc>
        <w:tc>
          <w:tcPr>
            <w:tcW w:type="dxa" w:w="1728"/>
          </w:tcPr>
          <w:p>
            <w:r>
              <w:t>ORG/GPR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CR-AASPAP01-001</w:t>
            </w:r>
          </w:p>
        </w:tc>
        <w:tc>
          <w:tcPr>
            <w:tcW w:type="dxa" w:w="1728"/>
          </w:tcPr>
          <w:p>
            <w:r>
              <w:t>Change Request (homologação EPROC/ESAJ)</w:t>
            </w:r>
          </w:p>
        </w:tc>
        <w:tc>
          <w:tcPr>
            <w:tcW w:type="dxa" w:w="1728"/>
          </w:tcPr>
          <w:p>
            <w:r>
              <w:t>GPR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CR-AASPAP01-002</w:t>
            </w:r>
          </w:p>
        </w:tc>
        <w:tc>
          <w:tcPr>
            <w:tcW w:type="dxa" w:w="1728"/>
          </w:tcPr>
          <w:p>
            <w:r>
              <w:t>Change Request (aditivo Fase 4)</w:t>
            </w:r>
          </w:p>
        </w:tc>
        <w:tc>
          <w:tcPr>
            <w:tcW w:type="dxa" w:w="1728"/>
          </w:tcPr>
          <w:p>
            <w:r>
              <w:t>GPR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REQ-AASPAP01-001</w:t>
            </w:r>
          </w:p>
        </w:tc>
        <w:tc>
          <w:tcPr>
            <w:tcW w:type="dxa" w:w="1728"/>
          </w:tcPr>
          <w:p>
            <w:r>
              <w:t>Documento de Requisitos</w:t>
            </w:r>
          </w:p>
        </w:tc>
        <w:tc>
          <w:tcPr>
            <w:tcW w:type="dxa" w:w="1728"/>
          </w:tcPr>
          <w:p>
            <w:r>
              <w:t>REQ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RASTR-AASPAP01-001</w:t>
            </w:r>
          </w:p>
        </w:tc>
        <w:tc>
          <w:tcPr>
            <w:tcW w:type="dxa" w:w="1728"/>
          </w:tcPr>
          <w:p>
            <w:r>
              <w:t>Matriz de Rastreabilidade</w:t>
            </w:r>
          </w:p>
        </w:tc>
        <w:tc>
          <w:tcPr>
            <w:tcW w:type="dxa" w:w="1728"/>
          </w:tcPr>
          <w:p>
            <w:r>
              <w:t>REQ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PCP-AASPAP01-001</w:t>
            </w:r>
          </w:p>
        </w:tc>
        <w:tc>
          <w:tcPr>
            <w:tcW w:type="dxa" w:w="1728"/>
          </w:tcPr>
          <w:p>
            <w:r>
              <w:t>Documento de Design</w:t>
            </w:r>
          </w:p>
        </w:tc>
        <w:tc>
          <w:tcPr>
            <w:tcW w:type="dxa" w:w="1728"/>
          </w:tcPr>
          <w:p>
            <w:r>
              <w:t>PCP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ITP-AASPAP01-001</w:t>
            </w:r>
          </w:p>
        </w:tc>
        <w:tc>
          <w:tcPr>
            <w:tcW w:type="dxa" w:w="1728"/>
          </w:tcPr>
          <w:p>
            <w:r>
              <w:t>Estratégia de Integração</w:t>
            </w:r>
          </w:p>
        </w:tc>
        <w:tc>
          <w:tcPr>
            <w:tcW w:type="dxa" w:w="1728"/>
          </w:tcPr>
          <w:p>
            <w:r>
              <w:t>ITP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VV-AASPAP01-001</w:t>
            </w:r>
          </w:p>
        </w:tc>
        <w:tc>
          <w:tcPr>
            <w:tcW w:type="dxa" w:w="1728"/>
          </w:tcPr>
          <w:p>
            <w:r>
              <w:t>Plano de V&amp;V</w:t>
            </w:r>
          </w:p>
        </w:tc>
        <w:tc>
          <w:tcPr>
            <w:tcW w:type="dxa" w:w="1728"/>
          </w:tcPr>
          <w:p>
            <w:r>
              <w:t>VV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REV-AASPAP01-001</w:t>
            </w:r>
          </w:p>
        </w:tc>
        <w:tc>
          <w:tcPr>
            <w:tcW w:type="dxa" w:w="1728"/>
          </w:tcPr>
          <w:p>
            <w:r>
              <w:t>Registro de Revisão por Pares (consolidado)</w:t>
            </w:r>
          </w:p>
        </w:tc>
        <w:tc>
          <w:tcPr>
            <w:tcW w:type="dxa" w:w="1728"/>
          </w:tcPr>
          <w:p>
            <w:r>
              <w:t>VV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REV-AASPAP01-002</w:t>
            </w:r>
          </w:p>
        </w:tc>
        <w:tc>
          <w:tcPr>
            <w:tcW w:type="dxa" w:w="1728"/>
          </w:tcPr>
          <w:p>
            <w:r>
              <w:t>Revisão por Pares por Entrega (Merge Requests)</w:t>
            </w:r>
          </w:p>
        </w:tc>
        <w:tc>
          <w:tcPr>
            <w:tcW w:type="dxa" w:w="1728"/>
          </w:tcPr>
          <w:p>
            <w:r>
              <w:t>VV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REL-VV-AASPAP01-001</w:t>
            </w:r>
          </w:p>
        </w:tc>
        <w:tc>
          <w:tcPr>
            <w:tcW w:type="dxa" w:w="1728"/>
          </w:tcPr>
          <w:p>
            <w:r>
              <w:t>Relatório de Execução de Testes</w:t>
            </w:r>
          </w:p>
        </w:tc>
        <w:tc>
          <w:tcPr>
            <w:tcW w:type="dxa" w:w="1728"/>
          </w:tcPr>
          <w:p>
            <w:r>
              <w:t>VV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GDE-AASPAP01-001</w:t>
            </w:r>
          </w:p>
        </w:tc>
        <w:tc>
          <w:tcPr>
            <w:tcW w:type="dxa" w:w="1728"/>
          </w:tcPr>
          <w:p>
            <w:r>
              <w:t>Registro de Análise de Decisão</w:t>
            </w:r>
          </w:p>
        </w:tc>
        <w:tc>
          <w:tcPr>
            <w:tcW w:type="dxa" w:w="1728"/>
          </w:tcPr>
          <w:p>
            <w:r>
              <w:t>GDE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GQA-AASPAP01-001</w:t>
            </w:r>
          </w:p>
        </w:tc>
        <w:tc>
          <w:tcPr>
            <w:tcW w:type="dxa" w:w="1728"/>
          </w:tcPr>
          <w:p>
            <w:r>
              <w:t>Registro de Verificação de GQA</w:t>
            </w:r>
          </w:p>
        </w:tc>
        <w:tc>
          <w:tcPr>
            <w:tcW w:type="dxa" w:w="1728"/>
          </w:tcPr>
          <w:p>
            <w:r>
              <w:t>GPC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GCO-AASPAP01-001</w:t>
            </w:r>
          </w:p>
        </w:tc>
        <w:tc>
          <w:tcPr>
            <w:tcW w:type="dxa" w:w="1728"/>
          </w:tcPr>
          <w:p>
            <w:r>
              <w:t>Registro de Configuração</w:t>
            </w:r>
          </w:p>
        </w:tc>
        <w:tc>
          <w:tcPr>
            <w:tcW w:type="dxa" w:w="1728"/>
          </w:tcPr>
          <w:p>
            <w:r>
              <w:t>GCO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MED-AASPAP01-001</w:t>
            </w:r>
          </w:p>
        </w:tc>
        <w:tc>
          <w:tcPr>
            <w:tcW w:type="dxa" w:w="1728"/>
          </w:tcPr>
          <w:p>
            <w:r>
              <w:t>Registro de Medição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GEST-AASPAP01</w:t>
            </w:r>
          </w:p>
        </w:tc>
        <w:tc>
          <w:tcPr>
            <w:tcW w:type="dxa" w:w="1728"/>
          </w:tcPr>
          <w:p>
            <w:r>
              <w:t>Planilha de Gestão do Projeto</w:t>
            </w:r>
          </w:p>
        </w:tc>
        <w:tc>
          <w:tcPr>
            <w:tcW w:type="dxa" w:w="1728"/>
          </w:tcPr>
          <w:p>
            <w:r>
              <w:t>GPR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>
      <w:pPr>
        <w:pStyle w:val="Heading2"/>
      </w:pPr>
      <w:r>
        <w:t>Encerramento (aguardando aceite formal)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Documento</w:t>
            </w:r>
          </w:p>
        </w:tc>
        <w:tc>
          <w:tcPr>
            <w:tcW w:type="dxa" w:w="2160"/>
          </w:tcPr>
          <w:p>
            <w:r>
              <w:t>Processo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TAE-AASPAP01-001</w:t>
            </w:r>
          </w:p>
        </w:tc>
        <w:tc>
          <w:tcPr>
            <w:tcW w:type="dxa" w:w="2160"/>
          </w:tcPr>
          <w:p>
            <w:r>
              <w:t>Termo de Encerramento</w:t>
            </w:r>
          </w:p>
        </w:tc>
        <w:tc>
          <w:tcPr>
            <w:tcW w:type="dxa" w:w="2160"/>
          </w:tcPr>
          <w:p>
            <w:r>
              <w:t>GPR</w:t>
            </w:r>
          </w:p>
        </w:tc>
        <w:tc>
          <w:tcPr>
            <w:tcW w:type="dxa" w:w="2160"/>
          </w:tcPr>
          <w:p>
            <w:r>
              <w:t>🔵 aguardando encerramento</w:t>
            </w:r>
          </w:p>
        </w:tc>
      </w:tr>
      <w:tr>
        <w:tc>
          <w:tcPr>
            <w:tcW w:type="dxa" w:w="2160"/>
          </w:tcPr>
          <w:p>
            <w:r>
              <w:t>LI-AASPAP01-001</w:t>
            </w:r>
          </w:p>
        </w:tc>
        <w:tc>
          <w:tcPr>
            <w:tcW w:type="dxa" w:w="2160"/>
          </w:tcPr>
          <w:p>
            <w:r>
              <w:t>Lições Aprendidas</w:t>
            </w:r>
          </w:p>
        </w:tc>
        <w:tc>
          <w:tcPr>
            <w:tcW w:type="dxa" w:w="2160"/>
          </w:tcPr>
          <w:p>
            <w:r>
              <w:t>GPR</w:t>
            </w:r>
          </w:p>
        </w:tc>
        <w:tc>
          <w:tcPr>
            <w:tcW w:type="dxa" w:w="2160"/>
          </w:tcPr>
          <w:p>
            <w:r>
              <w:t>🔵 aguardando encerramento</w:t>
            </w:r>
          </w:p>
        </w:tc>
      </w:tr>
    </w:tbl>
    <w:p>
      <w:pPr>
        <w:pStyle w:val="Heading2"/>
      </w:pPr>
      <w: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Versão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11/06/2026</w:t>
            </w:r>
          </w:p>
        </w:tc>
        <w:tc>
          <w:tcPr>
            <w:tcW w:type="dxa" w:w="2160"/>
          </w:tcPr>
          <w:p>
            <w:r>
              <w:t>Time de Melhoria Contínua</w:t>
            </w:r>
          </w:p>
        </w:tc>
        <w:tc>
          <w:tcPr>
            <w:tcW w:type="dxa" w:w="2160"/>
          </w:tcPr>
          <w:p>
            <w:r>
              <w:t>Índice de registros do projeto AASPAP01 (inventário inicial).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16/06/2026</w:t>
            </w:r>
          </w:p>
        </w:tc>
        <w:tc>
          <w:tcPr>
            <w:tcW w:type="dxa" w:w="2160"/>
          </w:tcPr>
          <w:p>
            <w:r>
              <w:t>Time de Melhoria Contínua</w:t>
            </w:r>
          </w:p>
        </w:tc>
        <w:tc>
          <w:tcPr>
            <w:tcW w:type="dxa" w:w="2160"/>
          </w:tcPr>
          <w:p>
            <w:r>
              <w:t>Inclui Metas de Qualidade (MQ-001), Atas de Acompanhamento por fase (ATA-002 a 005) e Revisão por Pares por Entrega (REV-002).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