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DO PROCESSO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ADAP-AASPGOV01-001   ·   Versão 1.0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SensrJiraSync: Serviço de Sincronização de Atividades entre Sensr e Jira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adaptação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(Gerente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Decisões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Adaptação do processo-padrão (PRO-GPC-001) a este projeto, conforme o GUIA-GPC-001.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Eixo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Tipo de produto (com/sem front-end)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UX/UI — apenas serviço de back-end (.NET 8 Scheduled Job)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é um serviço de sincronização entre APIs (Sensr e Jira); não há interface de usuário. Toda interação humana ocorre nas plataformas externas, fora do escopo deste projeto.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Origem dos requisitos e do design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elabora; AASP valida e homologa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 requisitos derivam de problemas operacionais identificados pela AASP na transição entre Sensr e Jira; a Timeware estruturou os RF/RNF e o desenho técnico, validados em homologação pelo Sponsor (Marcos Correa Fernandez Turnes).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Porte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Pequeno → nível de formalidade 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~236 h realizadas em 7 semanas, equipe de 6 pessoas com escopo bem delimitado (11 RF + 6 RNF). Não justifica documentação reforçada nem reuniões formais por sprint.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 papéis (acúmulo)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Arquiteto (Cezar Hiraki)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pequeno porte com arquitetura bem definida desde a Fase 1 (3 camadas: Core/Infrastructure/App). Não justifica papel dedicado de Arquiteto separado do Tech Lead.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Execução acompanhada por horas em 4 fases (waterfall); backlog modelado retroativamente em </w:t>
            </w:r>
            <w:r>
              <w:rPr>
                <w:rFonts w:ascii="Calibri" w:hAnsi="Calibri"/>
                <w:b/>
                <w:i w:val="0"/>
                <w:sz w:val="20"/>
              </w:rPr>
              <w:t>sprints e story points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(4 sprints, ~59 SP) para evidência ágil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Concilia a gestão real por fases com a rastreabilidade ágil exigida na avaliação MPS-SW. O fator de conversão adotado foi </w:t>
            </w:r>
            <w:r>
              <w:rPr>
                <w:rFonts w:ascii="Calibri" w:hAnsi="Calibri"/>
                <w:b/>
                <w:i w:val="0"/>
                <w:sz w:val="20"/>
              </w:rPr>
              <w:t>1 SP = 4 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(referência de projetos B2B de pequeno porte), validado pela velocity resultante de ~15 SP/sprint.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 ao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marco/fase, com 4 reuniões de marco registradas em 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Acordada com a AASP no Kickoff (ATA-AASPGOV01-001); resultados comunicados em Kickoff (14/04), Alinhamento de Mapeamento de APIs (23/04), Validação de Homologação (29/05) e Aceite Final (02/06).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adotado — homologação por amostragem contra APIs reais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crítico do serviço depende da compatibilidade real entre Sensr e Jira (autenticação, formato ADF, transições de status, paginação). Mocks ou ambientes simulados não seriam representativos — homologação executada contra workspaces de teste reais do Sensr e do Jira, validados por amostragem.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reuniões internas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pontuais de alinhamento entre o time + revisão via PR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pequena (6 pessoas) com comunicação direta; sprints formais (planning, review, retro) não foram adotados — a modelagem em sprints é retroativa, apenas para evidência.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Etapas aplicáveis e não aplicáveis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/ artefato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Aplicável?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sem front-end (serviço back-end). Seção §3 do PCP-AASPGOV01-001 registra "não aplicável".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Mapa de teste por história (story)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modelado em sprints retroativamente — testes organizados por funcionalidade técnica (12 cenários CT-01 a CT-12), não por história. Ver VV-AASPGOV01-001.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 (arquitetura)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PCP-AASPGOV01-001 com arquitetura em 3 camadas + aceite do Tech Lead/Arquiteto.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 detalhando integrações com Sensr, Jira v3 e Azure Scheduler.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e execução de V&amp;V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VV-AASPGOV01-001 (Plano) + REL-VV-AASPGOV01-001 (Execução).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por pares (code review)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REV-AASPGOV01-001 — Pull Request obrigatório com revisão por pelo menos 1 membro além do autor antes do merge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Gerência de Configuração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GCO-AASPGOV01-001 com Azure DevOps + GitFlow + baselines (BL-DEV, BL-HOM, BL-PROD).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decisões (GDE)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GDE-AASPGOV01-001 com 7 decisões (D01–D07) e RAD detalhado para D04 (uso de ADF).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Capacitação da equipe (CAP)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CAP-AASPGOV01-001 documentando equipe, integração de membros e práticas de transferência de conhecimento.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Medição (MED)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MED-AASPGOV01-001 alimentando os indicadores M1–M7 do PLA-MED-001.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Aquisição (AQU)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subcontratação de desenvolvimento; APIs Sensr/Jira e Azure Scheduler são insumos de serviço, tratados em ITP e nos riscos do PLA.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Requisitos especificados e validados (REQ-AASPGOV01-001 + ATA-AASPGOV01-001)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Plano de Projeto aprovado pelo cliente (baseline) — aprovado em 14/04/2026 (ATA-AASPGOV01-001)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Definição de Pronto aplicada (critérios de aceite CA01–CA07, ver VV-AASPGOV01-001)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Verificação e validação realizadas (VV-AASPGOV01-001 + REL-VV-AASPGOV01-001)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Encerramento formal com aceite (TAE-AASPGOV01-001 + ATA-AASPGOV01-004, em 02/06/2026)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pontos de controle obrigatórios foram cumpridos.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consolidado a partir do Registro de Projeto AASP_Automacao-Governanca v2.0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ADAP-AASPGOV01-001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