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ALINHAMENTO TÉCNICO: MAPEAMENTO DE APIS SENSR E JIRA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ATA-AASPGOV01-002   ·   23/04/2026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/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dos endpoints mapeados nas APIs Sensr e Jira ao término da Fase 2.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Validação da estratégia de autenticação por desenvolvedor na API Sensr.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da estratégia de identificação de cards já migrados no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da necessidade do Atlassian Document Format (ADF) para campos de texto rico.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Autorização para início da Fase 3 — Desenvolvimento dos Serviços.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Tech Lead Cezar Hiraki apresentou o resultado do mapeamento completo de endpoints realizado durante a Fase 2. No lado Sensr, foram identificados e documentados os endpoints de login (autenticação JWT), </w:t>
      </w:r>
      <w:r>
        <w:rPr>
          <w:rFonts w:ascii="Courier New" w:hAnsi="Courier New"/>
          <w:b w:val="0"/>
          <w:i w:val="0"/>
          <w:color w:val="333333"/>
          <w:sz w:val="20"/>
        </w:rPr>
        <w:t>getactivitiesbyprojectstatus</w:t>
      </w:r>
      <w:r>
        <w:rPr>
          <w:rFonts w:ascii="Calibri" w:hAnsi="Calibri"/>
          <w:b w:val="0"/>
          <w:i w:val="0"/>
          <w:sz w:val="22"/>
        </w:rPr>
        <w:t xml:space="preserve"> (listagem de atividades por projeto e status), </w:t>
      </w:r>
      <w:r>
        <w:rPr>
          <w:rFonts w:ascii="Courier New" w:hAnsi="Courier New"/>
          <w:b w:val="0"/>
          <w:i w:val="0"/>
          <w:color w:val="333333"/>
          <w:sz w:val="20"/>
        </w:rPr>
        <w:t>getsingleactivity</w:t>
      </w:r>
      <w:r>
        <w:rPr>
          <w:rFonts w:ascii="Calibri" w:hAnsi="Calibri"/>
          <w:b w:val="0"/>
          <w:i w:val="0"/>
          <w:sz w:val="22"/>
        </w:rPr>
        <w:t xml:space="preserve"> (detalhamento de atividade) e </w:t>
      </w:r>
      <w:r>
        <w:rPr>
          <w:rFonts w:ascii="Courier New" w:hAnsi="Courier New"/>
          <w:b w:val="0"/>
          <w:i w:val="0"/>
          <w:color w:val="333333"/>
          <w:sz w:val="20"/>
        </w:rPr>
        <w:t>subactivity</w:t>
      </w:r>
      <w:r>
        <w:rPr>
          <w:rFonts w:ascii="Calibri" w:hAnsi="Calibri"/>
          <w:b w:val="0"/>
          <w:i w:val="0"/>
          <w:sz w:val="22"/>
        </w:rPr>
        <w:t xml:space="preserve"> (sub-atividades vinculadas). No lado Jira v3, foram mapeados os endpoints de busca (</w:t>
      </w:r>
      <w:r>
        <w:rPr>
          <w:rFonts w:ascii="Courier New" w:hAnsi="Courier New"/>
          <w:b w:val="0"/>
          <w:i w:val="0"/>
          <w:color w:val="333333"/>
          <w:sz w:val="20"/>
        </w:rPr>
        <w:t>search</w:t>
      </w:r>
      <w:r>
        <w:rPr>
          <w:rFonts w:ascii="Calibri" w:hAnsi="Calibri"/>
          <w:b w:val="0"/>
          <w:i w:val="0"/>
          <w:sz w:val="22"/>
        </w:rPr>
        <w:t>), criação de issues (</w:t>
      </w:r>
      <w:r>
        <w:rPr>
          <w:rFonts w:ascii="Courier New" w:hAnsi="Courier New"/>
          <w:b w:val="0"/>
          <w:i w:val="0"/>
          <w:color w:val="333333"/>
          <w:sz w:val="20"/>
        </w:rPr>
        <w:t>create</w:t>
      </w:r>
      <w:r>
        <w:rPr>
          <w:rFonts w:ascii="Calibri" w:hAnsi="Calibri"/>
          <w:b w:val="0"/>
          <w:i w:val="0"/>
          <w:sz w:val="22"/>
        </w:rPr>
        <w:t>), transições de status (</w:t>
      </w:r>
      <w:r>
        <w:rPr>
          <w:rFonts w:ascii="Courier New" w:hAnsi="Courier New"/>
          <w:b w:val="0"/>
          <w:i w:val="0"/>
          <w:color w:val="333333"/>
          <w:sz w:val="20"/>
        </w:rPr>
        <w:t>transitions</w:t>
      </w:r>
      <w:r>
        <w:rPr>
          <w:rFonts w:ascii="Calibri" w:hAnsi="Calibri"/>
          <w:b w:val="0"/>
          <w:i w:val="0"/>
          <w:sz w:val="22"/>
        </w:rPr>
        <w:t>) e comentários (</w:t>
      </w:r>
      <w:r>
        <w:rPr>
          <w:rFonts w:ascii="Courier New" w:hAnsi="Courier New"/>
          <w:b w:val="0"/>
          <w:i w:val="0"/>
          <w:color w:val="333333"/>
          <w:sz w:val="20"/>
        </w:rPr>
        <w:t>comments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equipe discutiu a estratégia de autenticação com a API Sensr. Ficou estabelecido que o token JWT deverá ser obtido individualmente por desenvolvedor, pois a API retorna atividades filtradas pelo usuário autenticado — um token genérico resultaria em listas incompletas ou incorretas (D02). Em sequência, foi definida a estratégia de identificação de cards migrados: o SyncService utilizará 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campo summary do Jira para detectar se um card já foi migrado, evitando duplicatas sem necessidade de campos personalizados ou dependências adicionais na plataforma (D03).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Por fim, o Tech Lead confirmou que a API Jira v3 exige o uso do Atlassian Document Format (ADF) para todos os campos de texto rico, como descrição e comentários. O envio de texto plano resulta em erro de validação por parte da API. Com isso, ficou definida a necessidade de implementação do método </w:t>
      </w:r>
      <w:r>
        <w:rPr>
          <w:rFonts w:ascii="Courier New" w:hAnsi="Courier New"/>
          <w:b w:val="0"/>
          <w:i w:val="0"/>
          <w:color w:val="333333"/>
          <w:sz w:val="20"/>
        </w:rPr>
        <w:t>BuildAdfDocument</w:t>
      </w:r>
      <w:r>
        <w:rPr>
          <w:rFonts w:ascii="Calibri" w:hAnsi="Calibri"/>
          <w:b w:val="0"/>
          <w:i w:val="0"/>
          <w:sz w:val="22"/>
        </w:rPr>
        <w:t xml:space="preserve"> no JiraService para conversão do conteúdo antes do envio (D04). O Gerente de Projeto formalizou a autorização para início da Fase 3 a partir de 24/04/2026.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JWT individual por desenvolvedor no Sensr (D02)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cards migrados via prefixo #ID no summary do Jira (D03)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de ADF confirmada para campos de texto no Jira v3 (D04 formalizada na Fase 3 — ver GDE-AASPGOV01-001)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para início da Fase 3 — Desenvolvimento dos Serviços em 24/04/2026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SensrService com mecanismo de login por desenvolvedor e gestão de tokens JWT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Implementar JiraService incluindo método BuildAdfDocument para campos de texto rico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Allan Alves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Preparar estrutura de testes e cenários para uso na Fase 4 de Homologação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Provisionar ambiente de integração para execução dos serviços durante a Fase 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Início da Fase 3 — Desenvolvimento dos Serviços (24/04 a 20/05/2026), com implementação do SensrService, JiraService, SyncService, StatusMapper, HtmlHelper e modelos de dados. Ao término da fase, os serviços serão submetidos à Fase 4 de Homologação em ambiente real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reconstituída a partir do Registro de Projeto AASP_Automacao-Governanca v2.0.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de consistência: D04 registrada como necessidade confirmada em 23/04, com formalização na Fase 3 (GDE), eliminando conflito de data; padronização do nome.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23/04/2026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23/04/2026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ATA-AASPGOV01-002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