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MEDIÇÃO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MED-AASPGOV01-001   ·   Versão 1.0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 (AASPGOV01)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os resultados de medição do projeto AASP_Automacao-Governanca — SensrJiraSync, alinhados às 7 medidas oficiais M1–M7 definidas no Plano de Medição Organizacional PLA-MED-001 (v1.3, 05/06/2026). Os indicadores coletados sustentam a análise de desempenho do projeto, a identificação de desvios e suas causas-raiz, o registro de ações corretivas e a comunicação dos resultados ao cliente, à organização e ao Auditor GQA, conforme PLA-MED-001 §7.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Indicadores M1–M7 do PLA-MED-001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AASP_Automacao-Governanca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 — Aderência ao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OM1 — Aumentar a previsibilidade de prazo e esforço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 de desvio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— entregue em 02/06/2026 conforme data prevista no TAP-AASPGOV01-001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M2 — Esforço estimado × realizado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 de desvio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+9,3% — 216 h estimadas → 236 h realizadas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M3 — Velocity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OM2 — Acompanhar e melhorar a capacidade de entrega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12 SP/sprint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 SP/sprint (média das 4 sprints: S0=15, S1=16, S2=16, S3=12)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M4 — Itens entregues × planejados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95% por 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17 itens planejados entregues em 17 itens concluídos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M5 — Densidade de defeitos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OM3 — Reduzir defeitos e retrabalho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 defeito a cada 4 SP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0,085 def/SP (5 defeitos em 59 SP — equivalente a ~1 defeito a cada 12 SP)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M6 — Defeitos em homologação × produção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OM4 — Antecipar detecção de defeitos antes da entrega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de contenção em homologação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defeitos detectados em homologação · 0 defeitos escapados para produção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M7 — Retrabalho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 de itens reabertos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— nenhum item reaberto após conclusão ao longo das 4 sprints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Todas as 7 medidas atingiram as metas definidas no PLA-MED-001 v1.3. Fonte dos dados: Jira (backlog, sprints e registro de defeitos do projeto AASPGOV01).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Indicadores específicos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Indicadores complementares às medidas M1–M7, definidos em função dos objetivos de negócio do SensrJiraSync: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Eliminação de trabalho manual de migração de cards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cards migrados automaticamente, sem intervenção manual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nenhuma migração manual necessária após implantação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Idempotência — ausência de duplicatas em execuções repetidas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duplicatas em todos os ciclos de execução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duplicatas verificadas em todos os cenários de teste (CT-01, CT-02)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dos dados migrados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de conformidade nos campos verificados (descrição, labels, status, histórico)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todos os critérios CA01 a CA07 validados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contenção de defeitos (absoluta)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95% dos defeitos contidos antes da entrega ao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BUG-01 a BUG-05 corrigidos antes da validação com o Sponsor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Não-conformidades (NCs) de GQA abertas ao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NCs abertas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NCs — auditoria GQA encerrada sem pendências (GQA-AASPGOV01-001)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Medidas de esforço por fase (M2 detalhado)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estimado (h)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realizado (h)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principal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Arquitetura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16/04/2026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Mapeamento e Autenticação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 – 23/04/2026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Allan Alves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 dos Serviços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24/04 – 20/05/2026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+6,7%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Allan Alves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Homologação e Correções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21/05 – 02/06/2026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Caroline Sousa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do projeto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14/04 – 02/06/2026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236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+9,3%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esforço foi modelado retroativamente em aproximadamente 59 Story Points distribuídos em 4 sprints (velocity média de 15 SP/sprint), para fins de gestão ágil e carga no Jira. Conversão aplicada: 1 SP = 4 h. Distribuição por sprint: Sprint 0 (15 SP) · Sprint 1 (16 SP) · Sprint 2 (16 SP) · Sprint 3 (12 SP). Referência: GEST-AASPGOV01_Planilha-de-Gestao-do-Projeto.xlsx (abas Backlog, Tarefas e Acompanhamento).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de variâncias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Magnitude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Causa-raiz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da Fase 2 acima do estimado (+10%)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mapeamento da API Jira v3 exigiu mais investigação que o previsto, em especial para compreender os requisitos do Atlassian Document Format (ADF) e os comportamentos da API de transições — aspectos não cobertos pelas estimativas iniciais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AC-01 — Adotar estimativa mais conservadora para mapeamento de APIs externas com formatos proprietários em projetos futuros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da Fase 4 acima do estimado (+20%)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identificação de 5 defeitos (BUG-01 a BUG-05) durante a homologação — relacionados a HTML, comparação de status, sanitização de labels e paginação — exigiu ciclos de correção e reteste não previstos na estimativa inicial da 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AC-02 — Incluir cenário de teste obrigatório para tratamento de HTML e labels em projetos de integração/migração já nas fases anteriores à homologação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Ações corretivas registradas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AC-01:</w:t>
      </w:r>
      <w:r>
        <w:rPr>
          <w:rFonts w:ascii="Calibri" w:hAnsi="Calibri"/>
          <w:b w:val="0"/>
          <w:i w:val="0"/>
          <w:sz w:val="22"/>
        </w:rPr>
        <w:t xml:space="preserve"> Adoção de fator de estimativa mais conservador (+30% sobre baseline) para a fase de mapeamento de APIs externas com formatos proprietários (ex.: ADF da Atlassian) em projetos futuros. Ação incorporada ao PLA-GPR-001 (Plano de Gerência de Projetos organizacional) como ajuste de template de estimativa para projetos de integração com APIs Atlassian.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AC-02:</w:t>
      </w:r>
      <w:r>
        <w:rPr>
          <w:rFonts w:ascii="Calibri" w:hAnsi="Calibri"/>
          <w:b w:val="0"/>
          <w:i w:val="0"/>
          <w:sz w:val="22"/>
        </w:rPr>
        <w:t xml:space="preserve"> Inclusão de cenário de teste obrigatório para tratamento de HTML e sanitização de campos em projetos de migração ou integração com sistemas que armazenam conteúdo em HTML. Ação incorporada ao TPL-VV-001 §6 como cenário Gherkin de referência (modelo baseado em CT-05 e CT-10 do AASP_Automacao-Governanca).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Comunicação dos resultados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PLA-MED-001 §7, os resultados das medidas M1–M7 e os indicadores específicos do projeto foram comunicados pelos seguintes canais: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Internamente (time Timeware):</w:t>
      </w:r>
      <w:r>
        <w:rPr>
          <w:rFonts w:ascii="Calibri" w:hAnsi="Calibri"/>
          <w:b w:val="0"/>
          <w:i w:val="0"/>
          <w:sz w:val="22"/>
        </w:rPr>
        <w:t xml:space="preserve"> nas atas de marcos do projeto (ATA-AASPGOV01-001, ATA-AASPGOV01-002 e ATA-AASPGOV01-003), com acompanhamento dos indicadores de prazo, esforço e qualidade em cada reunião de revisão.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Ao cliente (Sponsor AASP):</w:t>
      </w:r>
      <w:r>
        <w:rPr>
          <w:rFonts w:ascii="Calibri" w:hAnsi="Calibri"/>
          <w:b w:val="0"/>
          <w:i w:val="0"/>
          <w:sz w:val="22"/>
        </w:rPr>
        <w:t xml:space="preserve"> na reunião de Validação de Homologação de 29/05/2026 (ATA-AASPGOV01-003), com apresentação dos resultados dos critérios de aceite CA01–CA07 e dos defeitos identificados e corrigidos; e no Termo de Aceite e Encerramento TAE-AASPGOV01-001 (02/06/2026), assinado por Marcos Correa Fernandez Turnes.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À organização Timeware:</w:t>
      </w:r>
      <w:r>
        <w:rPr>
          <w:rFonts w:ascii="Calibri" w:hAnsi="Calibri"/>
          <w:b w:val="0"/>
          <w:i w:val="0"/>
          <w:sz w:val="22"/>
        </w:rPr>
        <w:t xml:space="preserve"> os indicadores M1–M7 do projeto AASP_Automacao-Governanca foram consolidados no REG-MED-001 (Repositório Organizacional de Medidas), alimentando a base de dados histórica de projetos para calibração de estimativas futuras.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Ao Auditor GQA:</w:t>
      </w:r>
      <w:r>
        <w:rPr>
          <w:rFonts w:ascii="Calibri" w:hAnsi="Calibri"/>
          <w:b w:val="0"/>
          <w:i w:val="0"/>
          <w:sz w:val="22"/>
        </w:rPr>
        <w:t xml:space="preserve"> os resultados foram disponibilizados para verificação independente pelo Auditor Jonathan Alves, registrados em GQA-AASPGOV01-001. A auditoria confirmou conformidade com o processo MED do MR-MPS-SW:2024 Nível C.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medição consolidado a partir do Registro de Projeto AASP_Automacao-Governanca v2.0 e alinhado ao PLA-MED-001 v1.3 (05/06/2026).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MED-AASPGOV01-001</w:t>
    </w:r>
    <w:r>
      <w:tab/>
    </w:r>
    <w:r>
      <w:rPr>
        <w:rFonts w:ascii="Calibri" w:hAnsi="Calibri"/>
        <w:color w:val="555555"/>
        <w:sz w:val="18"/>
      </w:rPr>
      <w:t>Medição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