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PLA-AASPGOV01-001   ·   Versão 1.0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AASP utilizava o Sensr como ferramenta de gerenciamento de projetos e atividades do time de desenvolvimento. Em função de requisitos operacionais e de governança, foi tomada a decisão de migrar para o Jira. Por se tratar de uma migração gradual — e não de uma substituição imediata — o time precisaria operar nas duas ferramentas simultaneamente durante um período de transição, com risco real de divergência entre os registros e volume elevado de trabalho operacional para replicação manual de cards. O projeto entrega o serviço SensrJiraSync, uma solução .NET 8 executada como Azure Scheduled Job que realiza a migração automatizada e a sincronização incremental entre as duas plataformas. Ver REQ-AASPGOV01-001 para os requisitos detalhados.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autenticação JWT por desenvolvedor no Sensr e Basic Auth com API Token no Jira; criação de Epics (projetos), Tasks (atividades) e Subtasks (sub-atividades) com preservação de hierarquia, descrição, status, responsáveis, labels e histórico; sincronização incremental de status para cards já migrados; conversão HTML → ADF; mapeamento dos 5 status do Sensr para os equivalentes do Jira; sanitização de labels; idempotência via prefixo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no summary; execução agendada e não supervisionada via Azure Scheduler; configuração multi-desenvolvedor via appsettings.json.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sincronização bidirecional (Jira → Sensr); atualização de campos além de status para cards já migrados; migração de cards sem prefixo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no summary; desenvolvimento de UI/UX (projeto sem front-end).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REQ-AASPGOV01-001.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ADAP-AASPGOV01-001.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 / serviço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pequeno porte (~7 semanas), integração crítica entre duas ferramentas de gestão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por horas (fases waterfall); backlog modelado retroativamente em sprints e story points (4 sprints, ~59 SP) para evidência ágil e carga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por fases com a rastreabilidade ágil exigida na avaliação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acumula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pequeno porte com escopo bem delimitado; não justifica papel dedicado de Arquiteto separado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adotado — homologação contra APIs reais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crítico depende da compatibilidade real entre Sensr e Jira; mocks não seriam representativos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foi estimado e acompanhado por </w:t>
      </w:r>
      <w:r>
        <w:rPr>
          <w:rFonts w:ascii="Calibri" w:hAnsi="Calibri"/>
          <w:b/>
          <w:i w:val="0"/>
          <w:sz w:val="22"/>
        </w:rPr>
        <w:t>horas de esforço</w:t>
      </w:r>
      <w:r>
        <w:rPr>
          <w:rFonts w:ascii="Calibri" w:hAnsi="Calibri"/>
          <w:b w:val="0"/>
          <w:i w:val="0"/>
          <w:sz w:val="22"/>
        </w:rPr>
        <w:t xml:space="preserve"> registradas por fase. Para a evidência de gestão ágil e a carga no Jira, o backlog foi </w:t>
      </w:r>
      <w:r>
        <w:rPr>
          <w:rFonts w:ascii="Calibri" w:hAnsi="Calibri"/>
          <w:b/>
          <w:i w:val="0"/>
          <w:sz w:val="22"/>
        </w:rPr>
        <w:t>modelado retroativamente</w:t>
      </w:r>
      <w:r>
        <w:rPr>
          <w:rFonts w:ascii="Calibri" w:hAnsi="Calibri"/>
          <w:b w:val="0"/>
          <w:i w:val="0"/>
          <w:sz w:val="22"/>
        </w:rPr>
        <w:t xml:space="preserve"> em </w:t>
      </w:r>
      <w:r>
        <w:rPr>
          <w:rFonts w:ascii="Calibri" w:hAnsi="Calibri"/>
          <w:b/>
          <w:i w:val="0"/>
          <w:sz w:val="22"/>
        </w:rPr>
        <w:t>~20 histórias / ~59 SP</w:t>
      </w:r>
      <w:r>
        <w:rPr>
          <w:rFonts w:ascii="Calibri" w:hAnsi="Calibri"/>
          <w:b w:val="0"/>
          <w:i w:val="0"/>
          <w:sz w:val="22"/>
        </w:rPr>
        <w:t xml:space="preserve"> derivadas dos requisitos (RF01–RF11 + RNF01–RNF06), distribuídas em </w:t>
      </w:r>
      <w:r>
        <w:rPr>
          <w:rFonts w:ascii="Calibri" w:hAnsi="Calibri"/>
          <w:b/>
          <w:i w:val="0"/>
          <w:sz w:val="22"/>
        </w:rPr>
        <w:t>4 sprints de 2 semanas</w:t>
      </w:r>
      <w:r>
        <w:rPr>
          <w:rFonts w:ascii="Calibri" w:hAnsi="Calibri"/>
          <w:b w:val="0"/>
          <w:i w:val="0"/>
          <w:sz w:val="22"/>
        </w:rPr>
        <w:t xml:space="preserve"> com velocity média de ~15 SP/sprint, conciliadas com as horas reais. Detalhamento em GEST-AASPGOV01-001 (abas Backlog, Tarefas e Acompanhamento) e em ADAP-AASPGOV01-001.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Tamanho e prazo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Tamanho estimado:</w:t>
      </w:r>
      <w:r>
        <w:rPr>
          <w:rFonts w:ascii="Calibri" w:hAnsi="Calibri"/>
          <w:b w:val="0"/>
          <w:i w:val="0"/>
          <w:sz w:val="22"/>
        </w:rPr>
        <w:t xml:space="preserve"> ~59 SP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Velocity de referência:</w:t>
      </w:r>
      <w:r>
        <w:rPr>
          <w:rFonts w:ascii="Calibri" w:hAnsi="Calibri"/>
          <w:b w:val="0"/>
          <w:i w:val="0"/>
          <w:sz w:val="22"/>
        </w:rPr>
        <w:t xml:space="preserve"> ~15 SP/sprint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Número de sprints:</w:t>
      </w:r>
      <w:r>
        <w:rPr>
          <w:rFonts w:ascii="Calibri" w:hAnsi="Calibri"/>
          <w:b w:val="0"/>
          <w:i w:val="0"/>
          <w:sz w:val="22"/>
        </w:rPr>
        <w:t xml:space="preserve"> 4 (Sprint 0 a Sprint 3)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Duração:</w:t>
      </w:r>
      <w:r>
        <w:rPr>
          <w:rFonts w:ascii="Calibri" w:hAnsi="Calibri"/>
          <w:b w:val="0"/>
          <w:i w:val="0"/>
          <w:sz w:val="22"/>
        </w:rPr>
        <w:t xml:space="preserve"> 7 semanas (14/04/2026 – 02/06/2026)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Base histórica utilizada:</w:t>
      </w:r>
      <w:r>
        <w:rPr>
          <w:rFonts w:ascii="Calibri" w:hAnsi="Calibri"/>
          <w:b w:val="0"/>
          <w:i w:val="0"/>
          <w:sz w:val="22"/>
        </w:rPr>
        <w:t xml:space="preserve"> projetos Timeware de pequeno porte (.NET, integração de APIs REST)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Fator de conversão SP ↔ horas:</w:t>
      </w:r>
      <w:r>
        <w:rPr>
          <w:rFonts w:ascii="Calibri" w:hAnsi="Calibri"/>
          <w:b w:val="0"/>
          <w:i w:val="0"/>
          <w:sz w:val="22"/>
        </w:rPr>
        <w:t xml:space="preserve"> 1 SP = 4 h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de horas por papel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Referência de capacidade: 168 h/mês disponíveis por pessoa (21 dias × 8 h); deduzindo ~28 h de cerimônias ágeis e reuniões (~15%), a capacidade efetiva é de </w:t>
      </w:r>
      <w:r>
        <w:rPr>
          <w:rFonts w:ascii="Calibri" w:hAnsi="Calibri"/>
          <w:b/>
          <w:i w:val="0"/>
          <w:sz w:val="22"/>
        </w:rPr>
        <w:t>140 h/mês por FTE</w:t>
      </w:r>
      <w:r>
        <w:rPr>
          <w:rFonts w:ascii="Calibri" w:hAnsi="Calibri"/>
          <w:b w:val="0"/>
          <w:i w:val="0"/>
          <w:sz w:val="22"/>
        </w:rPr>
        <w:t xml:space="preserve"> ou </w:t>
      </w:r>
      <w:r>
        <w:rPr>
          <w:rFonts w:ascii="Calibri" w:hAnsi="Calibri"/>
          <w:b/>
          <w:i w:val="0"/>
          <w:sz w:val="22"/>
        </w:rPr>
        <w:t>70 h por sprint de 2 semanas por FTE</w:t>
      </w:r>
      <w:r>
        <w:rPr>
          <w:rFonts w:ascii="Calibri" w:hAnsi="Calibri"/>
          <w:b w:val="0"/>
          <w:i w:val="0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Pessoas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Dedicação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 efetivas/sprint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Nº sprints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 estimadas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112 h (efetiva no projeto: ~16 h registradas)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49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196 h (efetiva no projeto: ~40 h registradas)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280 h (efetiva no projeto: ~120 h registradas)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56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(S1–S3)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168 h (efetiva no projeto: ~40 h registradas)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56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(S3)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56 h (efetiva no projeto: ~16 h registradas)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56 h (efetiva no projeto: ~4 h registradas)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estimado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216 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(planejado) / </w:t>
            </w:r>
            <w:r>
              <w:rPr>
                <w:rFonts w:ascii="Calibri" w:hAnsi="Calibri"/>
                <w:b/>
                <w:i w:val="0"/>
                <w:sz w:val="20"/>
              </w:rPr>
              <w:t>236 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(realizado)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/>
          <w:color w:val="1A5276"/>
          <w:sz w:val="22"/>
        </w:rPr>
        <w:t>Referência de cálculo:</w:t>
      </w:r>
      <w:r>
        <w:rPr>
          <w:rFonts w:ascii="Calibri" w:hAnsi="Calibri"/>
          <w:b w:val="0"/>
          <w:i w:val="0"/>
          <w:color w:val="1A5276"/>
          <w:sz w:val="22"/>
        </w:rPr>
        <w:t xml:space="preserve"> h efetivas/sprint = 70 h × (% dedicação). Ex.: Dev 100% = 70 h/sprint; GP 40% = 28 h/sprint. Os totais informados refletem o esforço efetivamente registrado por papel dentro do projeto AASP_Automacao-Governanca (escopo de pequeno porte), não a capacidade total disponível dos profissionais.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Arquitetura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Mapeamento e Autenticação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Desenvolvimento dos Serviços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+6,7%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Homologação e Correções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+20%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216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236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+9,3%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realizada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(abertura)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Realizado (ATA-AASPGOV01-001)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Mapeamento de APIs (Fase 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Realizado (ATA-AASPGOV01-002)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(Fase 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Realizado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Realizado (ATA-AASPGOV01-003)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e 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Realizado (ATA-AASPGOV01-004 + TAE-AASPGOV01-001)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sprints (modelagem retroativa)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Foco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0 — Setup &amp; Mapeamento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 – 24/04/2026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3 camadas + mapeamento APIs Sensr/Jira + autenticação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— Core de Migração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27/04 – 08/05/2026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RF02, RF03, RF04, RF07, RF08, RF09 (criação Epic/Task/Subtask)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— Sincronização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11/05 – 22/05/2026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RF05, RF06, RF11, RNF01, RNF02, RNF03 (sync incremental + idempotência)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— 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25/05 – 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BUG-01 a BUG-05 + validação CA01–CA07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 semanas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59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216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236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 a 02/06/2026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 sprints de 2 semanas (Sprint 3 com ~1,5 sem)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</w:t>
      </w:r>
      <w:r>
        <w:rPr>
          <w:rFonts w:ascii="Calibri" w:hAnsi="Calibri"/>
          <w:b w:val="0"/>
          <w:i w:val="0"/>
          <w:sz w:val="22"/>
        </w:rPr>
        <w:t xml:space="preserve"> Abraão Oliveira (Gerente de Projeto, todas as fases); Cezar Hiraki (Tech Lead/Arquiteto, todas as fases); Raony Chagas (Desenvolvedor Sênior, todas as fases); Allan Alves (Desenvolvedor de Suporte, Fases 2–4); Caroline Sousa (Analista de Testes, Fase 4); Lucas Batista (Infraestrutura/DevOps, Fases 1 e 4).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 e ferramentas: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Controle de versão / CI/CD:</w:t>
      </w:r>
      <w:r>
        <w:rPr>
          <w:rFonts w:ascii="Calibri" w:hAnsi="Calibri"/>
          <w:b w:val="0"/>
          <w:i w:val="0"/>
          <w:sz w:val="22"/>
        </w:rPr>
        <w:t xml:space="preserve"> Azure DevOps (repositório </w:t>
      </w:r>
      <w:r>
        <w:rPr>
          <w:rFonts w:ascii="Courier New" w:hAnsi="Courier New"/>
          <w:b w:val="0"/>
          <w:i w:val="0"/>
          <w:color w:val="333333"/>
          <w:sz w:val="20"/>
        </w:rPr>
        <w:t>SensrJiraSync</w:t>
      </w:r>
      <w:r>
        <w:rPr>
          <w:rFonts w:ascii="Calibri" w:hAnsi="Calibri"/>
          <w:b w:val="0"/>
          <w:i w:val="0"/>
          <w:sz w:val="22"/>
        </w:rPr>
        <w:t xml:space="preserve"> + pipeline)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Hospedagem do serviço:</w:t>
      </w:r>
      <w:r>
        <w:rPr>
          <w:rFonts w:ascii="Calibri" w:hAnsi="Calibri"/>
          <w:b w:val="0"/>
          <w:i w:val="0"/>
          <w:sz w:val="22"/>
        </w:rPr>
        <w:t xml:space="preserve"> Azure (Scheduled Job em ambiente Windows)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Gestão de tarefas e backlog:</w:t>
      </w:r>
      <w:r>
        <w:rPr>
          <w:rFonts w:ascii="Calibri" w:hAnsi="Calibri"/>
          <w:b w:val="0"/>
          <w:i w:val="0"/>
          <w:sz w:val="22"/>
        </w:rPr>
        <w:t xml:space="preserve"> Jira (carga retroativa via JIRA-AASPGOV01_Backlog-Import.csv)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Plataforma alvo da migração:</w:t>
      </w:r>
      <w:r>
        <w:rPr>
          <w:rFonts w:ascii="Calibri" w:hAnsi="Calibri"/>
          <w:b w:val="0"/>
          <w:i w:val="0"/>
          <w:sz w:val="22"/>
        </w:rPr>
        <w:t xml:space="preserve"> Jira (workspace AASP)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Plataforma fonte da migração:</w:t>
      </w:r>
      <w:r>
        <w:rPr>
          <w:rFonts w:ascii="Calibri" w:hAnsi="Calibri"/>
          <w:b w:val="0"/>
          <w:i w:val="0"/>
          <w:sz w:val="22"/>
        </w:rPr>
        <w:t xml:space="preserve"> Sensr (workspace AASP)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Frameworks / Bibliotecas:</w:t>
      </w:r>
      <w:r>
        <w:rPr>
          <w:rFonts w:ascii="Calibri" w:hAnsi="Calibri"/>
          <w:b w:val="0"/>
          <w:i w:val="0"/>
          <w:sz w:val="22"/>
        </w:rPr>
        <w:t xml:space="preserve"> .NET 8, Microsoft.Extensions.* (DI, configuração, logging), HtmlAgilityPack (parsing HTML), Newtonsoft.Json (serialização JSON)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Ambiente de homologação:</w:t>
      </w:r>
      <w:r>
        <w:rPr>
          <w:rFonts w:ascii="Calibri" w:hAnsi="Calibri"/>
          <w:b w:val="0"/>
          <w:i w:val="0"/>
          <w:sz w:val="22"/>
        </w:rPr>
        <w:t xml:space="preserve"> workspaces de teste do Sensr e do Jira (sem ambiente de stage isolado — homologação contra APIs reais, conforme ADAP §3.3)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(Sponsor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 formal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marco (Kickoff, Alinhamento APIs, Validação Homologação, Aceite Final) — 4 atas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 — 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entregas, comunicação com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contínuo + reuniões de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técnica e decisões de implementação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por sprint; revisão de código via PR no Azure 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Alves (Auditor GQA — 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aderência ao processo MPS-SW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única ao encerramento (ver GQA-AASPGOV01-001)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aprovada → publicação manual do executável .NET 8 auto-contido no Azure → configuração do Scheduled Job → verificação da primeira execução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execução do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(DevOps)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(Sponsor AASP) + Abraão Oliveira (GP)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de mudança do 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 — implantação direta no Azure Scheduler da Timeware (não há GMUD do cliente)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Janela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Horário comercial (serviço novo, sem usuários ativos no momento do deploy)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Substituição do artefato pelo executável da baseline anterior (BL-HOM-001) + reativação do agendamento; APIs Sensr e Jira não sofrem alterações (sincronização unidirecional não destrutiva)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 (go-live readiness)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defeitos críticos (S1) resolvidos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(QA) / Abraão Oliveira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aprovada pelo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entrega completa (appsettings, endpoints, troubleshooting)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CT-01 a CT-12 aprovados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(QA)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(DevOps)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e permissões de produção confirmadas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(DevOps)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Sponsor registrado em 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suporte pós-go-live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dias úteis após o go-live (02/06 a 12/06/2026)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sustentação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Lead) + Abraão Oliveira (GP)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 de atendimento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Teams (canal direto com o Sponsor da AASP) + e-mail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SLA de resposta (incidentes críticos S1)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Resposta em 2 h; resolução em 24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SLA de resposta (incidentes S2/S3)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Resposta em 1 dia útil; resolução em 3 dias úteis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monitorar no período pós-go-live: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Limiar de alerta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Execuções do Azure Scheduled Job com exit code 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Logs Azure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(zero falhas no agendamento)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de cada execução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Logs Azure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30 min por ciclo completo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de integração com Sensr ou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Logs estruturados do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erro ≤ 1% por desenvolvedor processado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Cards duplicados criados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manual amostral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duplicatas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8.4 Critério de encerramento do suporte pós-go-live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período de suporte pós-go-live encerra quando: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[ ] Período de 10 dias úteis transcorreu sem incidentes S1 abertos; </w:t>
      </w:r>
      <w:r>
        <w:rPr>
          <w:rFonts w:ascii="Calibri" w:hAnsi="Calibri"/>
          <w:b/>
          <w:i w:val="0"/>
          <w:sz w:val="22"/>
        </w:rPr>
        <w:t>ou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Todos os incidentes abertos no período foram resolvidos e aceitos pelo cliente.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encerramento é registrado no Termo de Encerramento e Aceite (TAE-AASPGOV01-001). Incidentes pós-período passam para a fila de manutenção contratual ou são tratados como novo escopo via Change Request.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de cards duplicados no Jira por execuções repetidas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Mitigar — verificação de existência pelo 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summary antes de qualquer criação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Controlado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Diferenças de formato entre modelos de dados das plataformas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camada de transformação dedicada (StatusMapper + HtmlHelper)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Controlado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de autenticação de um desenvolvedor interrompendo toda a execução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tratamento de exceção por desenvolvedor no SyncService com continuidade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Controlado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 API Jira para transições de status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consulta prévia das transições disponíveis antes de aplicar; log de aviso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⚠️ Ocorreu — corrigido (BUG-02)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Volume elevado de issues no Epic exigindo paginação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Mitigar — paginação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nextPageToken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GetIssuesByEpicAsync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Controlado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de texto rico do Sensr em HTML incompatível com Jira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HtmlHelper para conversão de HTML para texto plano e serialização para ADF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⚠️ Ocorreu — corrigido (BUG-01)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é viável: o esforço estimado (216 h, ~59 SP) é compatível com a duração planejada de 7 semanas e com a capacidade da equipe alocada. A escolha por uma arquitetura em 3 camadas e a estratégia de identificação por prefixo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no summary eliminam a necessidade de estado externo e simplificam a lógica de idempotência. Os principais riscos (criação de duplicatas, diferenças entre plataformas) são endereçados por mecanismos técnicos verificáveis (verificação prévia, camada de transformação dedicada). A solução atende a uma necessidade operacional clara da AASP (eliminação de migração manual + garantia de consistência durante a transição) e seu valor é mensurável via número de cards migrados e zero duplicatas em execuções repetidas.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Sponsor (AASP)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ATA-AASPGOV01-001 (Kickoff)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(Timeware)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ATA-AASPGOV01-001 (Kickoff)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A aprovação registrada estabeleceu a </w:t>
      </w:r>
      <w:r>
        <w:rPr>
          <w:rFonts w:ascii="Calibri" w:hAnsi="Calibri"/>
          <w:b/>
          <w:i w:val="0"/>
          <w:color w:val="1A5276"/>
          <w:sz w:val="22"/>
        </w:rPr>
        <w:t>baseline</w:t>
      </w:r>
      <w:r>
        <w:rPr>
          <w:rFonts w:ascii="Calibri" w:hAnsi="Calibri"/>
          <w:b w:val="0"/>
          <w:i w:val="0"/>
          <w:color w:val="1A5276"/>
          <w:sz w:val="22"/>
        </w:rPr>
        <w:t xml:space="preserve"> do projeto em 14/04/2026. O aceite final das entregas foi registrado em 02/06/2026 (ver ATA-AASPGOV01-004 e TAE-AASPGOV01-001).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AASP_Automacao-Governanca v2.0 (08/06/2026), seguindo TPL-GPR-001 v1.2.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PLA-AASPGOV01-001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