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de Registros do Projeto — AASP_AndamentosProcessuais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INDICE-AASPAP01-001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Código do projeto</w:t>
            </w:r>
          </w:p>
        </w:tc>
        <w:tc>
          <w:tcPr>
            <w:tcW w:type="dxa" w:w="4320"/>
          </w:tcPr>
          <w:p>
            <w:r>
              <w:t>AASPAP01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16/06/2026</w:t>
            </w:r>
          </w:p>
        </w:tc>
      </w:tr>
      <w:tr>
        <w:tc>
          <w:tcPr>
            <w:tcW w:type="dxa" w:w="4320"/>
          </w:tcPr>
          <w:p>
            <w:r>
              <w:t>Natureza</w:t>
            </w:r>
          </w:p>
        </w:tc>
        <w:tc>
          <w:tcPr>
            <w:tcW w:type="dxa" w:w="4320"/>
          </w:tcPr>
          <w:p>
            <w:r>
              <w:t>Documento de controle / índice — apoio interno. Organiza as evidências do projeto; não é, ele próprio, evidência auditável pela ASR.</w:t>
            </w:r>
          </w:p>
        </w:tc>
      </w:tr>
    </w:tbl>
    <w:p>
      <w:r>
        <w:t>Como usar: mapeia os registros MPS do projeto AASPAP01 e o status de cada um. Execução gerada; projeto encerrado em 30/06/2026 (TAE-AASPAP01-001).</w:t>
      </w:r>
    </w:p>
    <w:p>
      <w:pPr>
        <w:pStyle w:val="Heading2"/>
      </w:pPr>
      <w:r>
        <w:t>Registros do projeto (gerados)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Código</w:t>
            </w:r>
          </w:p>
        </w:tc>
        <w:tc>
          <w:tcPr>
            <w:tcW w:type="dxa" w:w="1728"/>
          </w:tcPr>
          <w:p>
            <w:r>
              <w:t>Documento</w:t>
            </w:r>
          </w:p>
        </w:tc>
        <w:tc>
          <w:tcPr>
            <w:tcW w:type="dxa" w:w="1728"/>
          </w:tcPr>
          <w:p>
            <w:r>
              <w:t>Processo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MQ-AASPAP01-001</w:t>
            </w:r>
          </w:p>
        </w:tc>
        <w:tc>
          <w:tcPr>
            <w:tcW w:type="dxa" w:w="1728"/>
          </w:tcPr>
          <w:p>
            <w:r>
              <w:t>Definição de Metas de Qualidade</w:t>
            </w:r>
          </w:p>
        </w:tc>
        <w:tc>
          <w:tcPr>
            <w:tcW w:type="dxa" w:w="1728"/>
          </w:tcPr>
          <w:p>
            <w:r>
              <w:t>GPC/MED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TAP-AASPAP01-001</w:t>
            </w:r>
          </w:p>
        </w:tc>
        <w:tc>
          <w:tcPr>
            <w:tcW w:type="dxa" w:w="1728"/>
          </w:tcPr>
          <w:p>
            <w:r>
              <w:t>Termo de Abertura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PLA-AASPAP01-001</w:t>
            </w:r>
          </w:p>
        </w:tc>
        <w:tc>
          <w:tcPr>
            <w:tcW w:type="dxa" w:w="1728"/>
          </w:tcPr>
          <w:p>
            <w:r>
              <w:t>Plano de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ADAP-AASPAP01-001</w:t>
            </w:r>
          </w:p>
        </w:tc>
        <w:tc>
          <w:tcPr>
            <w:tcW w:type="dxa" w:w="1728"/>
          </w:tcPr>
          <w:p>
            <w:r>
              <w:t>Registro de Adaptação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RAC-AASPAP01-001</w:t>
            </w:r>
          </w:p>
        </w:tc>
        <w:tc>
          <w:tcPr>
            <w:tcW w:type="dxa" w:w="1728"/>
          </w:tcPr>
          <w:p>
            <w:r>
              <w:t>Relatório de Acompanhamento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ATA-AASPAP01-001</w:t>
            </w:r>
          </w:p>
        </w:tc>
        <w:tc>
          <w:tcPr>
            <w:tcW w:type="dxa" w:w="1728"/>
          </w:tcPr>
          <w:p>
            <w:r>
              <w:t>Ata — Alinhamento do Fluxo CNJ</w:t>
            </w:r>
          </w:p>
        </w:tc>
        <w:tc>
          <w:tcPr>
            <w:tcW w:type="dxa" w:w="1728"/>
          </w:tcPr>
          <w:p>
            <w:r>
              <w:t>ORG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ATA-AASPAP01-002</w:t>
            </w:r>
          </w:p>
        </w:tc>
        <w:tc>
          <w:tcPr>
            <w:tcW w:type="dxa" w:w="1728"/>
          </w:tcPr>
          <w:p>
            <w:r>
              <w:t>Ata de Acompanhamento — Fase 1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ATA-AASPAP01-003</w:t>
            </w:r>
          </w:p>
        </w:tc>
        <w:tc>
          <w:tcPr>
            <w:tcW w:type="dxa" w:w="1728"/>
          </w:tcPr>
          <w:p>
            <w:r>
              <w:t>Ata de Acompanhamento — Fase 2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ATA-AASPAP01-004</w:t>
            </w:r>
          </w:p>
        </w:tc>
        <w:tc>
          <w:tcPr>
            <w:tcW w:type="dxa" w:w="1728"/>
          </w:tcPr>
          <w:p>
            <w:r>
              <w:t>Ata de Acompanhamento — Fase 3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ATA-AASPAP01-005</w:t>
            </w:r>
          </w:p>
        </w:tc>
        <w:tc>
          <w:tcPr>
            <w:tcW w:type="dxa" w:w="1728"/>
          </w:tcPr>
          <w:p>
            <w:r>
              <w:t>Ata de Acompanhamento — Fase 4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CR-AASPAP01-001</w:t>
            </w:r>
          </w:p>
        </w:tc>
        <w:tc>
          <w:tcPr>
            <w:tcW w:type="dxa" w:w="1728"/>
          </w:tcPr>
          <w:p>
            <w:r>
              <w:t>Change Request (homologação EPROC/ESAJ)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CR-AASPAP01-002</w:t>
            </w:r>
          </w:p>
        </w:tc>
        <w:tc>
          <w:tcPr>
            <w:tcW w:type="dxa" w:w="1728"/>
          </w:tcPr>
          <w:p>
            <w:r>
              <w:t>Change Request (aditivo Fase 4)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REQ-AASPAP01-001</w:t>
            </w:r>
          </w:p>
        </w:tc>
        <w:tc>
          <w:tcPr>
            <w:tcW w:type="dxa" w:w="1728"/>
          </w:tcPr>
          <w:p>
            <w:r>
              <w:t>Documento de Requisitos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RASTR-AASPAP01-001</w:t>
            </w:r>
          </w:p>
        </w:tc>
        <w:tc>
          <w:tcPr>
            <w:tcW w:type="dxa" w:w="1728"/>
          </w:tcPr>
          <w:p>
            <w:r>
              <w:t>Matriz de Rastreabilidade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PCP-AASPAP01-001</w:t>
            </w:r>
          </w:p>
        </w:tc>
        <w:tc>
          <w:tcPr>
            <w:tcW w:type="dxa" w:w="1728"/>
          </w:tcPr>
          <w:p>
            <w:r>
              <w:t>Documento de Design</w:t>
            </w:r>
          </w:p>
        </w:tc>
        <w:tc>
          <w:tcPr>
            <w:tcW w:type="dxa" w:w="1728"/>
          </w:tcPr>
          <w:p>
            <w:r>
              <w:t>PCP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ITP-AASPAP01-001</w:t>
            </w:r>
          </w:p>
        </w:tc>
        <w:tc>
          <w:tcPr>
            <w:tcW w:type="dxa" w:w="1728"/>
          </w:tcPr>
          <w:p>
            <w:r>
              <w:t>Estratégia de Integração</w:t>
            </w:r>
          </w:p>
        </w:tc>
        <w:tc>
          <w:tcPr>
            <w:tcW w:type="dxa" w:w="1728"/>
          </w:tcPr>
          <w:p>
            <w:r>
              <w:t>ITP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VV-AASPAP01-001</w:t>
            </w:r>
          </w:p>
        </w:tc>
        <w:tc>
          <w:tcPr>
            <w:tcW w:type="dxa" w:w="1728"/>
          </w:tcPr>
          <w:p>
            <w:r>
              <w:t>Plano de V&amp;V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REV-AASPAP01-001</w:t>
            </w:r>
          </w:p>
        </w:tc>
        <w:tc>
          <w:tcPr>
            <w:tcW w:type="dxa" w:w="1728"/>
          </w:tcPr>
          <w:p>
            <w:r>
              <w:t>Registro de Revisão por Pares (consolidado)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REV-AASPAP01-002</w:t>
            </w:r>
          </w:p>
        </w:tc>
        <w:tc>
          <w:tcPr>
            <w:tcW w:type="dxa" w:w="1728"/>
          </w:tcPr>
          <w:p>
            <w:r>
              <w:t>Revisão por Pares por Entrega (Merge Requests)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REL-VV-AASPAP01-001</w:t>
            </w:r>
          </w:p>
        </w:tc>
        <w:tc>
          <w:tcPr>
            <w:tcW w:type="dxa" w:w="1728"/>
          </w:tcPr>
          <w:p>
            <w:r>
              <w:t>Relatório de Execução de Testes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GDE-AASPAP01-001</w:t>
            </w:r>
          </w:p>
        </w:tc>
        <w:tc>
          <w:tcPr>
            <w:tcW w:type="dxa" w:w="1728"/>
          </w:tcPr>
          <w:p>
            <w:r>
              <w:t>Registro de Análise de Decisão</w:t>
            </w:r>
          </w:p>
        </w:tc>
        <w:tc>
          <w:tcPr>
            <w:tcW w:type="dxa" w:w="1728"/>
          </w:tcPr>
          <w:p>
            <w:r>
              <w:t>GDE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GQA-AASPAP01-001</w:t>
            </w:r>
          </w:p>
        </w:tc>
        <w:tc>
          <w:tcPr>
            <w:tcW w:type="dxa" w:w="1728"/>
          </w:tcPr>
          <w:p>
            <w:r>
              <w:t>Registro de Verificação de GQA</w:t>
            </w:r>
          </w:p>
        </w:tc>
        <w:tc>
          <w:tcPr>
            <w:tcW w:type="dxa" w:w="1728"/>
          </w:tcPr>
          <w:p>
            <w:r>
              <w:t>GPC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GCO-AASPAP01-001</w:t>
            </w:r>
          </w:p>
        </w:tc>
        <w:tc>
          <w:tcPr>
            <w:tcW w:type="dxa" w:w="1728"/>
          </w:tcPr>
          <w:p>
            <w:r>
              <w:t>Registro de Configuração</w:t>
            </w:r>
          </w:p>
        </w:tc>
        <w:tc>
          <w:tcPr>
            <w:tcW w:type="dxa" w:w="1728"/>
          </w:tcPr>
          <w:p>
            <w:r>
              <w:t>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MED-AASPAP01-001</w:t>
            </w:r>
          </w:p>
        </w:tc>
        <w:tc>
          <w:tcPr>
            <w:tcW w:type="dxa" w:w="1728"/>
          </w:tcPr>
          <w:p>
            <w:r>
              <w:t>Registro de Medição</w:t>
            </w:r>
          </w:p>
        </w:tc>
        <w:tc>
          <w:tcPr>
            <w:tcW w:type="dxa" w:w="1728"/>
          </w:tcPr>
          <w:p>
            <w:r>
              <w:t>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GEST-AASPAP01</w:t>
            </w:r>
          </w:p>
        </w:tc>
        <w:tc>
          <w:tcPr>
            <w:tcW w:type="dxa" w:w="1728"/>
          </w:tcPr>
          <w:p>
            <w:r>
              <w:t>Planilha de Gestão do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REG-AASPAP01-001</w:t>
            </w:r>
          </w:p>
        </w:tc>
        <w:tc>
          <w:tcPr>
            <w:tcW w:type="dxa" w:w="1728"/>
          </w:tcPr>
          <w:p>
            <w:r>
              <w:t>Registro de Projeto (Linha de Base Consolidada)</w:t>
            </w:r>
          </w:p>
        </w:tc>
        <w:tc>
          <w:tcPr>
            <w:tcW w:type="dxa" w:w="1728"/>
          </w:tcPr>
          <w:p>
            <w:r>
              <w:t>GPR/GCO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TAE-AASPAP01-001</w:t>
            </w:r>
          </w:p>
        </w:tc>
        <w:tc>
          <w:tcPr>
            <w:tcW w:type="dxa" w:w="1728"/>
          </w:tcPr>
          <w:p>
            <w:r>
              <w:t>Termo de Encerramento e Aceite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t>Encerramento (aguardando aceite formal)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Código</w:t>
            </w:r>
          </w:p>
        </w:tc>
        <w:tc>
          <w:tcPr>
            <w:tcW w:type="dxa" w:w="2160"/>
          </w:tcPr>
          <w:p>
            <w:r>
              <w:t>Documento</w:t>
            </w:r>
          </w:p>
        </w:tc>
        <w:tc>
          <w:tcPr>
            <w:tcW w:type="dxa" w:w="2160"/>
          </w:tcPr>
          <w:p>
            <w:r>
              <w:t>Processo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TAE-AASPAP01-001</w:t>
            </w:r>
          </w:p>
        </w:tc>
        <w:tc>
          <w:tcPr>
            <w:tcW w:type="dxa" w:w="2160"/>
          </w:tcPr>
          <w:p>
            <w:r>
              <w:t>Termo de Encerramento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✅ gerado em 30/06/2026</w:t>
            </w:r>
          </w:p>
        </w:tc>
      </w:tr>
      <w:tr>
        <w:tc>
          <w:tcPr>
            <w:tcW w:type="dxa" w:w="2160"/>
          </w:tcPr>
          <w:p>
            <w:r>
              <w:t>LI-AASPAP01-001</w:t>
            </w:r>
          </w:p>
        </w:tc>
        <w:tc>
          <w:tcPr>
            <w:tcW w:type="dxa" w:w="2160"/>
          </w:tcPr>
          <w:p>
            <w:r>
              <w:t>Lições Aprendidas (integradas ao TAE)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✅ integrado ao TAE-AASPAP01-001 §6</w:t>
            </w:r>
          </w:p>
        </w:tc>
      </w:tr>
    </w:tbl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12/06/2026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Índice de registros do projeto AASPAP01 (inventário inicial).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16/06/2026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Inclui Metas de Qualidade (MQ-001), Atas de Acompanhamento por fase (ATA-002 a 005) e Revisão por Pares por Entrega (REV-002).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