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PROJETO (LINHA DE BASE CONSOLIDADA) — AASP_ANDAMENTOSPROCESSUAIS</w:t>
      </w:r>
    </w:p>
    <w:p>
      <w:r>
        <w:rPr>
          <w:b w:val="0"/>
          <w:i w:val="0"/>
        </w:rPr>
        <w:t>REG-AASPAP01-001   ·   Versão 1.1   ·   30/06/2026   ·   Timeware Brasil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REG-AASPAP01-001 — Registro de Projeto / Linha de Base Consolidada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Versão / Data</w:t>
            </w:r>
          </w:p>
        </w:tc>
        <w:tc>
          <w:tcPr>
            <w:tcW w:type="dxa" w:w="4320"/>
          </w:tcPr>
          <w:p>
            <w:r>
              <w:t>1.1 · 30/06/2026 (encerramento) — baseline v1.0 em 08/06/2026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Data de abertura</w:t>
            </w:r>
          </w:p>
        </w:tc>
        <w:tc>
          <w:tcPr>
            <w:tcW w:type="dxa" w:w="4320"/>
          </w:tcPr>
          <w:p>
            <w:r>
              <w:t>15/12/2025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Encerrado em 30/06/2026 (TAE-AASPAP01-001)</w:t>
            </w:r>
          </w:p>
        </w:tc>
      </w:tr>
      <w:tr>
        <w:tc>
          <w:tcPr>
            <w:tcW w:type="dxa" w:w="4320"/>
          </w:tcPr>
          <w:p>
            <w:r>
              <w:t>Processo MPS-SW</w:t>
            </w:r>
          </w:p>
        </w:tc>
        <w:tc>
          <w:tcPr>
            <w:tcW w:type="dxa" w:w="4320"/>
          </w:tcPr>
          <w:p>
            <w:r>
              <w:t>GPR / GCO (linha de base do projeto)</w:t>
            </w:r>
          </w:p>
        </w:tc>
      </w:tr>
    </w:tbl>
    <w:p>
      <w:pPr>
        <w:pStyle w:val="Heading1"/>
      </w:pPr>
      <w:r>
        <w:t>1. Propósito deste registro</w:t>
      </w:r>
    </w:p>
    <w:p>
      <w:r>
        <w:rPr>
          <w:b w:val="0"/>
          <w:i w:val="0"/>
        </w:rPr>
        <w:t>Este documento é a linha de base consolidada do projeto AASPAP01: reúne, em um único registro, a identificação, o escopo, a equipe, o ciclo de vida, os riscos, os indicadores e o inventário dos registros formais do projeto. Serve de referência única (baseline v1.0, aprovada em 08/06/2026) a partir da qual os registros individuais (TAP, PLA, REQ, PCP, ITP, VV, GCO, MED, GDE, GQA, RAC, ATAs e CRs) são derivados e mantidos coerentes. O conteúdo aqui consolidado provém integralmente desses registros — nenhuma informação nova é introduzida.</w:t>
      </w:r>
    </w:p>
    <w:p>
      <w:pPr>
        <w:pStyle w:val="Heading1"/>
      </w:pPr>
      <w:r>
        <w:t>2. Objetivo e escopo</w:t>
      </w:r>
    </w:p>
    <w:p>
      <w:r>
        <w:rPr>
          <w:b w:val="0"/>
          <w:i w:val="0"/>
        </w:rPr>
        <w:t>Objetivo: refatorar a solução legada .NET de captura de andamentos processuais da AASP (API AndamentosProcessuais + CapturaServer, ~20 anos de operação) para suportar o modelo de captura DataJud/CNJ via WorkerAndamentos, por evolução cirúrgica, sem reescrita do legado e sem interromper a operação. (TAP-AASPAP01-001 §1)</w:t>
      </w:r>
    </w:p>
    <w:p>
      <w:r>
        <w:rPr>
          <w:b w:val="0"/>
          <w:i w:val="0"/>
        </w:rPr>
        <w:t>Escopo incluído (macro): fila unificada WorkerAndamentos (RabbitMQ) com SegmentoTribunal; webhook de indexação multi-fonte; histórico de movimentações por instância (sem sobrescrita); verificação e desligamento do NUP nas APIs parceiras (Solucionário, Botmax) após captura via CNJ; campos CodigoFonteAPI, Observacao (erro por instância) e Segredo por instância; tratamento de erros parciais e desmembramento do RunUpdater. (TAP §2 / REQ-AASPAP01-001)</w:t>
      </w:r>
    </w:p>
    <w:p>
      <w:r>
        <w:rPr>
          <w:b w:val="0"/>
          <w:i w:val="0"/>
        </w:rPr>
        <w:t>Não incluído: reescrita do legado; migração de dados no Elasticsearch; alteração estrutural do IModelElastic. Dimensionamento de requisitos: 12 RF + 5 RNF (REQ-AASPAP01-001 / RASTR-AASPAP01-001).</w:t>
      </w:r>
    </w:p>
    <w:p>
      <w:pPr>
        <w:pStyle w:val="Heading1"/>
      </w:pPr>
      <w:r>
        <w:t>3. Partes interessadas e equipe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Parte interessada / 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Responsabilidade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Organização</w:t>
            </w:r>
          </w:p>
        </w:tc>
      </w:tr>
      <w:tr>
        <w:tc>
          <w:tcPr>
            <w:tcW w:type="dxa" w:w="2880"/>
          </w:tcPr>
          <w:p>
            <w:r>
              <w:t>Marcos Correa Fernandez Turnes (Sponsor / PO)</w:t>
            </w:r>
          </w:p>
        </w:tc>
        <w:tc>
          <w:tcPr>
            <w:tcW w:type="dxa" w:w="2880"/>
          </w:tcPr>
          <w:p>
            <w:r>
              <w:t>Autorização, validação de requisitos, homologação e aceite formal</w:t>
            </w:r>
          </w:p>
        </w:tc>
        <w:tc>
          <w:tcPr>
            <w:tcW w:type="dxa" w:w="2880"/>
          </w:tcPr>
          <w:p>
            <w:r>
              <w:t>AASP</w:t>
            </w:r>
          </w:p>
        </w:tc>
      </w:tr>
      <w:tr>
        <w:tc>
          <w:tcPr>
            <w:tcW w:type="dxa" w:w="2880"/>
          </w:tcPr>
          <w:p>
            <w:r>
              <w:t>Cézar Hiraki Velázquez (Tech Lead / DevOps / Arquiteto)</w:t>
            </w:r>
          </w:p>
        </w:tc>
        <w:tc>
          <w:tcPr>
            <w:tcW w:type="dxa" w:w="2880"/>
          </w:tcPr>
          <w:p>
            <w:r>
              <w:t>Alinhamento com cliente, decisões técnicas e gestão das entregas</w:t>
            </w:r>
          </w:p>
        </w:tc>
        <w:tc>
          <w:tcPr>
            <w:tcW w:type="dxa" w:w="2880"/>
          </w:tcPr>
          <w:p>
            <w:r>
              <w:t>Timeware Brasil</w:t>
            </w:r>
          </w:p>
        </w:tc>
      </w:tr>
      <w:tr>
        <w:tc>
          <w:tcPr>
            <w:tcW w:type="dxa" w:w="2880"/>
          </w:tcPr>
          <w:p>
            <w:r>
              <w:t>Patrocinador interno</w:t>
            </w:r>
          </w:p>
        </w:tc>
        <w:tc>
          <w:tcPr>
            <w:tcW w:type="dxa" w:w="2880"/>
          </w:tcPr>
          <w:p>
            <w:r>
              <w:t>Patrocínio e priorização de portfólio</w:t>
            </w:r>
          </w:p>
        </w:tc>
        <w:tc>
          <w:tcPr>
            <w:tcW w:type="dxa" w:w="2880"/>
          </w:tcPr>
          <w:p>
            <w:r>
              <w:t>Timeware Brasil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Titular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Atuação</w:t>
            </w:r>
          </w:p>
        </w:tc>
      </w:tr>
      <w:tr>
        <w:tc>
          <w:tcPr>
            <w:tcW w:type="dxa" w:w="2880"/>
          </w:tcPr>
          <w:p>
            <w:r>
              <w:t>Gerente de Projeto</w:t>
            </w:r>
          </w:p>
        </w:tc>
        <w:tc>
          <w:tcPr>
            <w:tcW w:type="dxa" w:w="2880"/>
          </w:tcPr>
          <w:p>
            <w:r>
              <w:t>Abraão Oliveira</w:t>
            </w:r>
          </w:p>
        </w:tc>
        <w:tc>
          <w:tcPr>
            <w:tcW w:type="dxa" w:w="2880"/>
          </w:tcPr>
          <w:p>
            <w:r>
              <w:t>Todas as fases (GPR)</w:t>
            </w:r>
          </w:p>
        </w:tc>
      </w:tr>
      <w:tr>
        <w:tc>
          <w:tcPr>
            <w:tcW w:type="dxa" w:w="2880"/>
          </w:tcPr>
          <w:p>
            <w:r>
              <w:t>Tech Lead / DevOps / Arquiteto</w:t>
            </w:r>
          </w:p>
        </w:tc>
        <w:tc>
          <w:tcPr>
            <w:tcW w:type="dxa" w:w="2880"/>
          </w:tcPr>
          <w:p>
            <w:r>
              <w:t>Cézar Hiraki Velázquez</w:t>
            </w:r>
          </w:p>
        </w:tc>
        <w:tc>
          <w:tcPr>
            <w:tcW w:type="dxa" w:w="2880"/>
          </w:tcPr>
          <w:p>
            <w:r>
              <w:t>Todas as fases (PCP/ITP/GCO/GDE)</w:t>
            </w:r>
          </w:p>
        </w:tc>
      </w:tr>
      <w:tr>
        <w:tc>
          <w:tcPr>
            <w:tcW w:type="dxa" w:w="2880"/>
          </w:tcPr>
          <w:p>
            <w:r>
              <w:t>Desenvolvedor Sênior (Principal)</w:t>
            </w:r>
          </w:p>
        </w:tc>
        <w:tc>
          <w:tcPr>
            <w:tcW w:type="dxa" w:w="2880"/>
          </w:tcPr>
          <w:p>
            <w:r>
              <w:t>Raony Chagas</w:t>
            </w:r>
          </w:p>
        </w:tc>
        <w:tc>
          <w:tcPr>
            <w:tcW w:type="dxa" w:w="2880"/>
          </w:tcPr>
          <w:p>
            <w:r>
              <w:t>Desenvolvimento (Fases 1–4)</w:t>
            </w:r>
          </w:p>
        </w:tc>
      </w:tr>
      <w:tr>
        <w:tc>
          <w:tcPr>
            <w:tcW w:type="dxa" w:w="2880"/>
          </w:tcPr>
          <w:p>
            <w:r>
              <w:t>Desenvolvedor de Suporte</w:t>
            </w:r>
          </w:p>
        </w:tc>
        <w:tc>
          <w:tcPr>
            <w:tcW w:type="dxa" w:w="2880"/>
          </w:tcPr>
          <w:p>
            <w:r>
              <w:t>Mateus Veloso</w:t>
            </w:r>
          </w:p>
        </w:tc>
        <w:tc>
          <w:tcPr>
            <w:tcW w:type="dxa" w:w="2880"/>
          </w:tcPr>
          <w:p>
            <w:r>
              <w:t>A partir de Abr/2026</w:t>
            </w:r>
          </w:p>
        </w:tc>
      </w:tr>
      <w:tr>
        <w:tc>
          <w:tcPr>
            <w:tcW w:type="dxa" w:w="2880"/>
          </w:tcPr>
          <w:p>
            <w:r>
              <w:t>Infraestrutura / DevOps</w:t>
            </w:r>
          </w:p>
        </w:tc>
        <w:tc>
          <w:tcPr>
            <w:tcW w:type="dxa" w:w="2880"/>
          </w:tcPr>
          <w:p>
            <w:r>
              <w:t>Lucas Batista</w:t>
            </w:r>
          </w:p>
        </w:tc>
        <w:tc>
          <w:tcPr>
            <w:tcW w:type="dxa" w:w="2880"/>
          </w:tcPr>
          <w:p>
            <w:r>
              <w:t>Fases 2 e 5</w:t>
            </w:r>
          </w:p>
        </w:tc>
      </w:tr>
      <w:tr>
        <w:tc>
          <w:tcPr>
            <w:tcW w:type="dxa" w:w="2880"/>
          </w:tcPr>
          <w:p>
            <w:r>
              <w:t>Analista de QA</w:t>
            </w:r>
          </w:p>
        </w:tc>
        <w:tc>
          <w:tcPr>
            <w:tcW w:type="dxa" w:w="2880"/>
          </w:tcPr>
          <w:p>
            <w:r>
              <w:t>Caroline Sousa</w:t>
            </w:r>
          </w:p>
        </w:tc>
        <w:tc>
          <w:tcPr>
            <w:tcW w:type="dxa" w:w="2880"/>
          </w:tcPr>
          <w:p>
            <w:r>
              <w:t>V&amp;V (Fase 4)</w:t>
            </w:r>
          </w:p>
        </w:tc>
      </w:tr>
      <w:tr>
        <w:tc>
          <w:tcPr>
            <w:tcW w:type="dxa" w:w="2880"/>
          </w:tcPr>
          <w:p>
            <w:r>
              <w:t>Auditor de GQA (independente)</w:t>
            </w:r>
          </w:p>
        </w:tc>
        <w:tc>
          <w:tcPr>
            <w:tcW w:type="dxa" w:w="2880"/>
          </w:tcPr>
          <w:p>
            <w:r>
              <w:t>Jonathan Barbosa</w:t>
            </w:r>
          </w:p>
        </w:tc>
        <w:tc>
          <w:tcPr>
            <w:tcW w:type="dxa" w:w="2880"/>
          </w:tcPr>
          <w:p>
            <w:r>
              <w:t>Garantia da Qualidade de Processo — fora da equipe de engenharia</w:t>
            </w:r>
          </w:p>
        </w:tc>
      </w:tr>
    </w:tbl>
    <w:p>
      <w:pPr>
        <w:pStyle w:val="Heading1"/>
      </w:pPr>
      <w:r>
        <w:t>4. Ciclo de vida, marcos e desempenho de esforço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Período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Esforço est. (h)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Realizado (h)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Desvio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Fase 1 — Webhook e CapturaServer (EPROC)</w:t>
            </w:r>
          </w:p>
        </w:tc>
        <w:tc>
          <w:tcPr>
            <w:tcW w:type="dxa" w:w="1440"/>
          </w:tcPr>
          <w:p>
            <w:r>
              <w:t>Dez/2025–Fev/2026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+9%</w:t>
            </w:r>
          </w:p>
        </w:tc>
        <w:tc>
          <w:tcPr>
            <w:tcW w:type="dxa" w:w="1440"/>
          </w:tcPr>
          <w:p>
            <w:r>
              <w:t>Concluída</w:t>
            </w:r>
          </w:p>
        </w:tc>
      </w:tr>
      <w:tr>
        <w:tc>
          <w:tcPr>
            <w:tcW w:type="dxa" w:w="1440"/>
          </w:tcPr>
          <w:p>
            <w:r>
              <w:t>Fase 2 — Estabilização e integração RabbitMQ</w:t>
            </w:r>
          </w:p>
        </w:tc>
        <w:tc>
          <w:tcPr>
            <w:tcW w:type="dxa" w:w="1440"/>
          </w:tcPr>
          <w:p>
            <w:r>
              <w:t>Jan/2026–Mar/2026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+9%</w:t>
            </w:r>
          </w:p>
        </w:tc>
        <w:tc>
          <w:tcPr>
            <w:tcW w:type="dxa" w:w="1440"/>
          </w:tcPr>
          <w:p>
            <w:r>
              <w:t>Concluída</w:t>
            </w:r>
          </w:p>
        </w:tc>
      </w:tr>
      <w:tr>
        <w:tc>
          <w:tcPr>
            <w:tcW w:type="dxa" w:w="1440"/>
          </w:tcPr>
          <w:p>
            <w:r>
              <w:t>Fase 3 — Refatoração para suporte ao CNJ</w:t>
            </w:r>
          </w:p>
        </w:tc>
        <w:tc>
          <w:tcPr>
            <w:tcW w:type="dxa" w:w="1440"/>
          </w:tcPr>
          <w:p>
            <w:r>
              <w:t>Abr/2026–Mai/2026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+11%</w:t>
            </w:r>
          </w:p>
        </w:tc>
        <w:tc>
          <w:tcPr>
            <w:tcW w:type="dxa" w:w="1440"/>
          </w:tcPr>
          <w:p>
            <w:r>
              <w:t>Concluída</w:t>
            </w:r>
          </w:p>
        </w:tc>
      </w:tr>
      <w:tr>
        <w:tc>
          <w:tcPr>
            <w:tcW w:type="dxa" w:w="1440"/>
          </w:tcPr>
          <w:p>
            <w:r>
              <w:t>Fase 4 — Tratamento de erros e validação</w:t>
            </w:r>
          </w:p>
        </w:tc>
        <w:tc>
          <w:tcPr>
            <w:tcW w:type="dxa" w:w="1440"/>
          </w:tcPr>
          <w:p>
            <w:r>
              <w:t>Mai/2026–Jun/2026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+9%</w:t>
            </w:r>
          </w:p>
        </w:tc>
        <w:tc>
          <w:tcPr>
            <w:tcW w:type="dxa" w:w="1440"/>
          </w:tcPr>
          <w:p>
            <w:r>
              <w:t>Concluída</w:t>
            </w:r>
          </w:p>
        </w:tc>
      </w:tr>
      <w:tr>
        <w:tc>
          <w:tcPr>
            <w:tcW w:type="dxa" w:w="1440"/>
          </w:tcPr>
          <w:p>
            <w:r>
              <w:t>Fase 5 — Implantação (GMUD)</w:t>
            </w:r>
          </w:p>
        </w:tc>
        <w:tc>
          <w:tcPr>
            <w:tcW w:type="dxa" w:w="1440"/>
          </w:tcPr>
          <w:p>
            <w:r>
              <w:t>Jun/2026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Em apuração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Em andamento</w:t>
            </w:r>
          </w:p>
        </w:tc>
      </w:tr>
    </w:tbl>
    <w:p>
      <w:r>
        <w:rPr>
          <w:b w:val="0"/>
          <w:i w:val="0"/>
        </w:rPr>
        <w:t>Esforço total: ~348 h estimado · ~362 h realizado (parcial, Fase 5 em apuração). Marcos: abertura 15/12/2025; aprovação da baseline do Plano 08/06/2026; encerramento previsto 30/06/2026. (PLA-AASPAP01-001 §5 / RAC-AASPAP01-001)</w:t>
      </w:r>
    </w:p>
    <w:p>
      <w:pPr>
        <w:pStyle w:val="Heading1"/>
      </w:pPr>
      <w:r>
        <w:t>5. Riscos do projeto (GRE / EST-GPC-002)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Prob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Imp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Exp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Resposta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R-01 Regressão no fluxo EPROC em produção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Mitigar — testes de regressão por amostragem; retrocompatibilidade</w:t>
            </w:r>
          </w:p>
        </w:tc>
        <w:tc>
          <w:tcPr>
            <w:tcW w:type="dxa" w:w="1440"/>
          </w:tcPr>
          <w:p>
            <w:r>
              <w:t>Controlado — não ocorreu</w:t>
            </w:r>
          </w:p>
        </w:tc>
      </w:tr>
      <w:tr>
        <w:tc>
          <w:tcPr>
            <w:tcW w:type="dxa" w:w="1440"/>
          </w:tcPr>
          <w:p>
            <w:r>
              <w:t>R-02 APIs parceiras inconsistentes nos endpoints de exclusão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Mitigar — tratamento por parceira + registro do retorno</w:t>
            </w:r>
          </w:p>
        </w:tc>
        <w:tc>
          <w:tcPr>
            <w:tcW w:type="dxa" w:w="1440"/>
          </w:tcPr>
          <w:p>
            <w:r>
              <w:t>Ocorreu — tratado</w:t>
            </w:r>
          </w:p>
        </w:tc>
      </w:tr>
      <w:tr>
        <w:tc>
          <w:tcPr>
            <w:tcW w:type="dxa" w:w="1440"/>
          </w:tcPr>
          <w:p>
            <w:r>
              <w:t>R-03 Perda de histórico de movimentações na migração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Mitigar — modelo só adiciona registros (sem sobrescrita)</w:t>
            </w:r>
          </w:p>
        </w:tc>
        <w:tc>
          <w:tcPr>
            <w:tcW w:type="dxa" w:w="1440"/>
          </w:tcPr>
          <w:p>
            <w:r>
              <w:t>Controlado — não ocorreu</w:t>
            </w:r>
          </w:p>
        </w:tc>
      </w:tr>
      <w:tr>
        <w:tc>
          <w:tcPr>
            <w:tcW w:type="dxa" w:w="1440"/>
          </w:tcPr>
          <w:p>
            <w:r>
              <w:t>R-04 Impacto de desempenho pela verificação nas parceiras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Mitigar — verificação só após captura CNJ</w:t>
            </w:r>
          </w:p>
        </w:tc>
        <w:tc>
          <w:tcPr>
            <w:tcW w:type="dxa" w:w="1440"/>
          </w:tcPr>
          <w:p>
            <w:r>
              <w:t>Controlado — não ocorreu</w:t>
            </w:r>
          </w:p>
        </w:tc>
      </w:tr>
      <w:tr>
        <w:tc>
          <w:tcPr>
            <w:tcW w:type="dxa" w:w="1440"/>
          </w:tcPr>
          <w:p>
            <w:r>
              <w:t>R-05 Falhas transitórias no webhook (perda de dados)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Mitigar — retry no worker antes de registrar erro</w:t>
            </w:r>
          </w:p>
        </w:tc>
        <w:tc>
          <w:tcPr>
            <w:tcW w:type="dxa" w:w="1440"/>
          </w:tcPr>
          <w:p>
            <w:r>
              <w:t>Ocorreu — tratado</w:t>
            </w:r>
          </w:p>
        </w:tc>
      </w:tr>
    </w:tbl>
    <w:p>
      <w:pPr>
        <w:pStyle w:val="Heading1"/>
      </w:pPr>
      <w:r>
        <w:t>6. Indicadores consolidados (MED-AASPAP01-001)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M1 Aderência ao cronograma</w:t>
            </w:r>
          </w:p>
        </w:tc>
        <w:tc>
          <w:tcPr>
            <w:tcW w:type="dxa" w:w="2160"/>
          </w:tcPr>
          <w:p>
            <w:r>
              <w:t>≥ 85%</w:t>
            </w:r>
          </w:p>
        </w:tc>
        <w:tc>
          <w:tcPr>
            <w:tcW w:type="dxa" w:w="2160"/>
          </w:tcPr>
          <w:p>
            <w:r>
              <w:t>~91% médio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M2 Desvio de esforço</w:t>
            </w:r>
          </w:p>
        </w:tc>
        <w:tc>
          <w:tcPr>
            <w:tcW w:type="dxa" w:w="2160"/>
          </w:tcPr>
          <w:p>
            <w:r>
              <w:t>≤ 20%</w:t>
            </w:r>
          </w:p>
        </w:tc>
        <w:tc>
          <w:tcPr>
            <w:tcW w:type="dxa" w:w="2160"/>
          </w:tcPr>
          <w:p>
            <w:r>
              <w:t>+9,7% médio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M4 Defeitos escapados para produção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M5 Taxa de contenção de defeitos</w:t>
            </w:r>
          </w:p>
        </w:tc>
        <w:tc>
          <w:tcPr>
            <w:tcW w:type="dxa" w:w="2160"/>
          </w:tcPr>
          <w:p>
            <w:r>
              <w:t>≥ 95%</w:t>
            </w:r>
          </w:p>
        </w:tc>
        <w:tc>
          <w:tcPr>
            <w:tcW w:type="dxa" w:w="2160"/>
          </w:tcPr>
          <w:p>
            <w:r>
              <w:t>100% (5/5 corrigidos antes da implantação)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M6 Retrabalho</w:t>
            </w:r>
          </w:p>
        </w:tc>
        <w:tc>
          <w:tcPr>
            <w:tcW w:type="dxa" w:w="2160"/>
          </w:tcPr>
          <w:p>
            <w:r>
              <w:t>≤ 5%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M7 Requisitos com rastreabilidade completa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 (RASTR-AASPAP01-001)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M8 Conformidade GQA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 (21/21 itens)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M10 Escopo realizado vs. planejado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 (12 RF + 5 RNF)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  <w:tr>
        <w:tc>
          <w:tcPr>
            <w:tcW w:type="dxa" w:w="2160"/>
          </w:tcPr>
          <w:p>
            <w:r>
              <w:t>M11 Rastreabilidade de status por instância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Atingida</w:t>
            </w:r>
          </w:p>
        </w:tc>
      </w:tr>
    </w:tbl>
    <w:p>
      <w:pPr>
        <w:pStyle w:val="Heading1"/>
      </w:pPr>
      <w:r>
        <w:t>7. Linha de base documental — registros que compõem o projeto</w:t>
      </w:r>
    </w:p>
    <w:p>
      <w:r>
        <w:rPr>
          <w:b w:val="0"/>
          <w:i w:val="0"/>
        </w:rPr>
        <w:t>A baseline v1.0 consolida os seguintes registros formais (estado em 08/06/2026):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Processo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MQ-AASPAP01-001</w:t>
            </w:r>
          </w:p>
        </w:tc>
        <w:tc>
          <w:tcPr>
            <w:tcW w:type="dxa" w:w="2160"/>
          </w:tcPr>
          <w:p>
            <w:r>
              <w:t>Definição de Metas de Qualidade</w:t>
            </w:r>
          </w:p>
        </w:tc>
        <w:tc>
          <w:tcPr>
            <w:tcW w:type="dxa" w:w="2160"/>
          </w:tcPr>
          <w:p>
            <w:r>
              <w:t>GPC/MED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TAP-AASPAP01-001</w:t>
            </w:r>
          </w:p>
        </w:tc>
        <w:tc>
          <w:tcPr>
            <w:tcW w:type="dxa" w:w="2160"/>
          </w:tcPr>
          <w:p>
            <w:r>
              <w:t>Termo de Abertura</w:t>
            </w:r>
          </w:p>
        </w:tc>
        <w:tc>
          <w:tcPr>
            <w:tcW w:type="dxa" w:w="2160"/>
          </w:tcPr>
          <w:p>
            <w:r>
              <w:t>GPR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PLA-AASPAP01-001</w:t>
            </w:r>
          </w:p>
        </w:tc>
        <w:tc>
          <w:tcPr>
            <w:tcW w:type="dxa" w:w="2160"/>
          </w:tcPr>
          <w:p>
            <w:r>
              <w:t>Plano de Projeto</w:t>
            </w:r>
          </w:p>
        </w:tc>
        <w:tc>
          <w:tcPr>
            <w:tcW w:type="dxa" w:w="2160"/>
          </w:tcPr>
          <w:p>
            <w:r>
              <w:t>GPR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ADAP-AASPAP01-001</w:t>
            </w:r>
          </w:p>
        </w:tc>
        <w:tc>
          <w:tcPr>
            <w:tcW w:type="dxa" w:w="2160"/>
          </w:tcPr>
          <w:p>
            <w:r>
              <w:t>Registro de Adaptação</w:t>
            </w:r>
          </w:p>
        </w:tc>
        <w:tc>
          <w:tcPr>
            <w:tcW w:type="dxa" w:w="2160"/>
          </w:tcPr>
          <w:p>
            <w:r>
              <w:t>GPR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RAC-AASPAP01-001</w:t>
            </w:r>
          </w:p>
        </w:tc>
        <w:tc>
          <w:tcPr>
            <w:tcW w:type="dxa" w:w="2160"/>
          </w:tcPr>
          <w:p>
            <w:r>
              <w:t>Relatório de Acompanhamento</w:t>
            </w:r>
          </w:p>
        </w:tc>
        <w:tc>
          <w:tcPr>
            <w:tcW w:type="dxa" w:w="2160"/>
          </w:tcPr>
          <w:p>
            <w:r>
              <w:t>GPR</w:t>
            </w:r>
          </w:p>
        </w:tc>
      </w:tr>
      <w:tr>
        <w:tc>
          <w:tcPr>
            <w:tcW w:type="dxa" w:w="2160"/>
          </w:tcPr>
          <w:p>
            <w:r>
              <w:t>6–10</w:t>
            </w:r>
          </w:p>
        </w:tc>
        <w:tc>
          <w:tcPr>
            <w:tcW w:type="dxa" w:w="2160"/>
          </w:tcPr>
          <w:p>
            <w:r>
              <w:t>ATA-AASPAP01-001..005</w:t>
            </w:r>
          </w:p>
        </w:tc>
        <w:tc>
          <w:tcPr>
            <w:tcW w:type="dxa" w:w="2160"/>
          </w:tcPr>
          <w:p>
            <w:r>
              <w:t>Atas (alinhamento CNJ + acompanhamento Fases 1–4)</w:t>
            </w:r>
          </w:p>
        </w:tc>
        <w:tc>
          <w:tcPr>
            <w:tcW w:type="dxa" w:w="2160"/>
          </w:tcPr>
          <w:p>
            <w:r>
              <w:t>ORG/GPR</w:t>
            </w:r>
          </w:p>
        </w:tc>
      </w:tr>
      <w:tr>
        <w:tc>
          <w:tcPr>
            <w:tcW w:type="dxa" w:w="2160"/>
          </w:tcPr>
          <w:p>
            <w:r>
              <w:t>11–12</w:t>
            </w:r>
          </w:p>
        </w:tc>
        <w:tc>
          <w:tcPr>
            <w:tcW w:type="dxa" w:w="2160"/>
          </w:tcPr>
          <w:p>
            <w:r>
              <w:t>CR-AASPAP01-001/002</w:t>
            </w:r>
          </w:p>
        </w:tc>
        <w:tc>
          <w:tcPr>
            <w:tcW w:type="dxa" w:w="2160"/>
          </w:tcPr>
          <w:p>
            <w:r>
              <w:t>Change Requests (homologação EPROC/ESAJ; aditivo Fase 4)</w:t>
            </w:r>
          </w:p>
        </w:tc>
        <w:tc>
          <w:tcPr>
            <w:tcW w:type="dxa" w:w="2160"/>
          </w:tcPr>
          <w:p>
            <w:r>
              <w:t>GPR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REQ-AASPAP01-001</w:t>
            </w:r>
          </w:p>
        </w:tc>
        <w:tc>
          <w:tcPr>
            <w:tcW w:type="dxa" w:w="2160"/>
          </w:tcPr>
          <w:p>
            <w:r>
              <w:t>Documento de Requisitos</w:t>
            </w:r>
          </w:p>
        </w:tc>
        <w:tc>
          <w:tcPr>
            <w:tcW w:type="dxa" w:w="2160"/>
          </w:tcPr>
          <w:p>
            <w:r>
              <w:t>REQ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RASTR-AASPAP01-001</w:t>
            </w:r>
          </w:p>
        </w:tc>
        <w:tc>
          <w:tcPr>
            <w:tcW w:type="dxa" w:w="2160"/>
          </w:tcPr>
          <w:p>
            <w:r>
              <w:t>Matriz de Rastreabilidade</w:t>
            </w:r>
          </w:p>
        </w:tc>
        <w:tc>
          <w:tcPr>
            <w:tcW w:type="dxa" w:w="2160"/>
          </w:tcPr>
          <w:p>
            <w:r>
              <w:t>REQ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PCP-AASPAP01-001</w:t>
            </w:r>
          </w:p>
        </w:tc>
        <w:tc>
          <w:tcPr>
            <w:tcW w:type="dxa" w:w="2160"/>
          </w:tcPr>
          <w:p>
            <w:r>
              <w:t>Documento de Design</w:t>
            </w:r>
          </w:p>
        </w:tc>
        <w:tc>
          <w:tcPr>
            <w:tcW w:type="dxa" w:w="2160"/>
          </w:tcPr>
          <w:p>
            <w:r>
              <w:t>PCP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ITP-AASPAP01-001</w:t>
            </w:r>
          </w:p>
        </w:tc>
        <w:tc>
          <w:tcPr>
            <w:tcW w:type="dxa" w:w="2160"/>
          </w:tcPr>
          <w:p>
            <w:r>
              <w:t>Estratégia de Integração</w:t>
            </w:r>
          </w:p>
        </w:tc>
        <w:tc>
          <w:tcPr>
            <w:tcW w:type="dxa" w:w="2160"/>
          </w:tcPr>
          <w:p>
            <w:r>
              <w:t>ITP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VV-AASPAP01-001</w:t>
            </w:r>
          </w:p>
        </w:tc>
        <w:tc>
          <w:tcPr>
            <w:tcW w:type="dxa" w:w="2160"/>
          </w:tcPr>
          <w:p>
            <w:r>
              <w:t>Plano de V&amp;V</w:t>
            </w:r>
          </w:p>
        </w:tc>
        <w:tc>
          <w:tcPr>
            <w:tcW w:type="dxa" w:w="2160"/>
          </w:tcPr>
          <w:p>
            <w:r>
              <w:t>VV</w:t>
            </w:r>
          </w:p>
        </w:tc>
      </w:tr>
      <w:tr>
        <w:tc>
          <w:tcPr>
            <w:tcW w:type="dxa" w:w="2160"/>
          </w:tcPr>
          <w:p>
            <w:r>
              <w:t>18–19</w:t>
            </w:r>
          </w:p>
        </w:tc>
        <w:tc>
          <w:tcPr>
            <w:tcW w:type="dxa" w:w="2160"/>
          </w:tcPr>
          <w:p>
            <w:r>
              <w:t>REV-AASPAP01-001/002</w:t>
            </w:r>
          </w:p>
        </w:tc>
        <w:tc>
          <w:tcPr>
            <w:tcW w:type="dxa" w:w="2160"/>
          </w:tcPr>
          <w:p>
            <w:r>
              <w:t>Revisão por Pares (consolidado + por entrega/MR)</w:t>
            </w:r>
          </w:p>
        </w:tc>
        <w:tc>
          <w:tcPr>
            <w:tcW w:type="dxa" w:w="2160"/>
          </w:tcPr>
          <w:p>
            <w:r>
              <w:t>VV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REL-VV-AASPAP01-001</w:t>
            </w:r>
          </w:p>
        </w:tc>
        <w:tc>
          <w:tcPr>
            <w:tcW w:type="dxa" w:w="2160"/>
          </w:tcPr>
          <w:p>
            <w:r>
              <w:t>Relatório de Execução de Testes</w:t>
            </w:r>
          </w:p>
        </w:tc>
        <w:tc>
          <w:tcPr>
            <w:tcW w:type="dxa" w:w="2160"/>
          </w:tcPr>
          <w:p>
            <w:r>
              <w:t>VV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GDE-AASPAP01-001</w:t>
            </w:r>
          </w:p>
        </w:tc>
        <w:tc>
          <w:tcPr>
            <w:tcW w:type="dxa" w:w="2160"/>
          </w:tcPr>
          <w:p>
            <w:r>
              <w:t>Registro de Análise de Decisão</w:t>
            </w:r>
          </w:p>
        </w:tc>
        <w:tc>
          <w:tcPr>
            <w:tcW w:type="dxa" w:w="2160"/>
          </w:tcPr>
          <w:p>
            <w:r>
              <w:t>GDE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GQA-AASPAP01-001</w:t>
            </w:r>
          </w:p>
        </w:tc>
        <w:tc>
          <w:tcPr>
            <w:tcW w:type="dxa" w:w="2160"/>
          </w:tcPr>
          <w:p>
            <w:r>
              <w:t>Registro de Verificação de GQA</w:t>
            </w:r>
          </w:p>
        </w:tc>
        <w:tc>
          <w:tcPr>
            <w:tcW w:type="dxa" w:w="2160"/>
          </w:tcPr>
          <w:p>
            <w:r>
              <w:t>GPC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GCO-AASPAP01-001</w:t>
            </w:r>
          </w:p>
        </w:tc>
        <w:tc>
          <w:tcPr>
            <w:tcW w:type="dxa" w:w="2160"/>
          </w:tcPr>
          <w:p>
            <w:r>
              <w:t>Registro de Configuração</w:t>
            </w:r>
          </w:p>
        </w:tc>
        <w:tc>
          <w:tcPr>
            <w:tcW w:type="dxa" w:w="2160"/>
          </w:tcPr>
          <w:p>
            <w:r>
              <w:t>GCO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MED-AASPAP01-001</w:t>
            </w:r>
          </w:p>
        </w:tc>
        <w:tc>
          <w:tcPr>
            <w:tcW w:type="dxa" w:w="2160"/>
          </w:tcPr>
          <w:p>
            <w:r>
              <w:t>Registro de Medição</w:t>
            </w:r>
          </w:p>
        </w:tc>
        <w:tc>
          <w:tcPr>
            <w:tcW w:type="dxa" w:w="2160"/>
          </w:tcPr>
          <w:p>
            <w:r>
              <w:t>MED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GEST-AASPAP01-001</w:t>
            </w:r>
          </w:p>
        </w:tc>
        <w:tc>
          <w:tcPr>
            <w:tcW w:type="dxa" w:w="2160"/>
          </w:tcPr>
          <w:p>
            <w:r>
              <w:t>Planilha de Gestão do Projeto (esforço/fases/CRs)</w:t>
            </w:r>
          </w:p>
        </w:tc>
        <w:tc>
          <w:tcPr>
            <w:tcW w:type="dxa" w:w="2160"/>
          </w:tcPr>
          <w:p>
            <w:r>
              <w:t>GPR</w:t>
            </w:r>
          </w:p>
        </w:tc>
      </w:tr>
    </w:tbl>
    <w:p>
      <w:r>
        <w:rPr>
          <w:b w:val="0"/>
          <w:i/>
        </w:rPr>
        <w:t>Pendentes para o encerramento (Fase 7, previsto 30/06/2026): TAE-AASPAP01-001 (Termo de Encerramento e Aceite) e LI-AASPAP01-001 (Lições Aprendidas).</w:t>
      </w:r>
    </w:p>
    <w:p>
      <w:pPr>
        <w:pStyle w:val="Heading1"/>
      </w:pPr>
      <w:r>
        <w:t>8. Status atual e encerramento</w:t>
      </w:r>
    </w:p>
    <w:p>
      <w:r>
        <w:rPr>
          <w:b w:val="0"/>
          <w:i w:val="0"/>
        </w:rPr>
        <w:t>Desenvolvimento concluído (Fases 1–4); projeto em implantação em produção (Fase 5) via pacotes GMUD. Os 12 cenários de teste (CT-01 a CT-12) foram 100% aprovados, incluindo regressão do fluxo EPROC/ESAJ. 5 defeitos identificados em homologação e 100% contidos; 0 defeitos escapados para produção. Auditoria de GQA com 100% de conformidade (21/21 itens), independência assegurada por Jonathan Barbosa. O aceite final e o encerramento formal serão registrados em 30/06/2026 (TAE + ata de aceite total). (RAC-AASPAP01-001 / MED-AASPAP01-001 / GQA-AASPAP01-001)</w:t>
      </w:r>
    </w:p>
    <w:p>
      <w:pPr>
        <w:pStyle w:val="Heading1"/>
      </w:pPr>
      <w:r>
        <w:t>Histórico de revisões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30/06/2026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Projeto encerrado em 30/06/2026: registrada a conclusão e o aceite final em TAE-AASPAP01-001; status atualizado para encerrado.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08/06/2026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Consolidação da linha de base do projeto AASPAP01 (identificação, escopo, equipe, ciclo de vida, riscos, indicadores e inventário de registros) a partir dos registros formais existentes. Baseline aprovada.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