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FORMULÁRIO DE AVALIAÇÃO DO INSTRUTOR</w:t>
      </w:r>
    </w:p>
    <w:p>
      <w:pPr>
        <w:jc w:val="center"/>
      </w:pPr>
      <w:r>
        <w:rPr>
          <w:i/>
          <w:color w:val="2E5496"/>
        </w:rPr>
        <w:t>Avaliação de reação · Timeware Brasil Softwares e Serviços LTDA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AVA-CAP-006 — Formulário de Avaliação do Instrutor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Versão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15/06/2026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Organização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Timeware Brasil Softwares e Serviços LTDA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Template / Formulário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PLA-CAP-001 §5–6; TPL-CAP-001 (registro de sessão); TPL-CAP-002 (eficácia)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Classificação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Ativo de processo organizacional (capacidade)</w:t>
            </w:r>
          </w:p>
        </w:tc>
      </w:tr>
    </w:tbl>
    <w:p>
      <w:r>
        <w:rPr>
          <w:i/>
          <w:color w:val="808080"/>
          <w:sz w:val="18"/>
        </w:rPr>
        <w:t>Preenchimento anônimo e opcional. Suas respostas alimentam o Índice de Avaliação de Reação do treinamento (consolidado no relatório de eficácia TPL-CAP-002). Marque um “X” na coluna que melhor representa sua opinião.</w:t>
      </w:r>
    </w:p>
    <w:p>
      <w:pPr>
        <w:pStyle w:val="Heading2"/>
      </w:pPr>
      <w:r>
        <w:rPr>
          <w:color w:val="1F3864"/>
        </w:rPr>
        <w:t>Identificação da sessão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2F2"/>
          </w:tcPr>
          <w:p>
            <w:r/>
            <w:r>
              <w:rPr>
                <w:b/>
                <w:sz w:val="20"/>
              </w:rPr>
              <w:t>Treinamento /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4320"/>
            <w:shd w:val="clear" w:fill="F2F2F2"/>
          </w:tcPr>
          <w:p>
            <w:r/>
            <w:r>
              <w:rPr>
                <w:b/>
                <w:sz w:val="20"/>
              </w:rPr>
              <w:t>Instrutor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4320"/>
            <w:shd w:val="clear" w:fill="F2F2F2"/>
          </w:tcPr>
          <w:p>
            <w:r/>
            <w:r>
              <w:rPr>
                <w:b/>
                <w:sz w:val="20"/>
              </w:rPr>
              <w:t>Data da sessão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4320"/>
            <w:shd w:val="clear" w:fill="F2F2F2"/>
          </w:tcPr>
          <w:p>
            <w:r/>
            <w:r>
              <w:rPr>
                <w:b/>
                <w:sz w:val="20"/>
              </w:rPr>
              <w:t>Modalidade (presencial/online)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 xml:space="preserve"> </w:t>
            </w:r>
          </w:p>
        </w:tc>
      </w:tr>
    </w:tbl>
    <w:p>
      <w:pPr>
        <w:pStyle w:val="Heading2"/>
      </w:pPr>
      <w:r>
        <w:rPr>
          <w:color w:val="1F3864"/>
        </w:rPr>
        <w:t>Escala</w:t>
      </w:r>
    </w:p>
    <w:p>
      <w:r>
        <w:rPr>
          <w:sz w:val="20"/>
        </w:rPr>
        <w:t>1 = Discordo totalmente · 2 = Discordo · 3 = Neutro · 4 = Concordo · 5 = Concordo totalmente</w:t>
      </w:r>
    </w:p>
    <w:p>
      <w:pPr>
        <w:pStyle w:val="Heading2"/>
      </w:pPr>
      <w:r>
        <w:rPr>
          <w:color w:val="1F3864"/>
        </w:rPr>
        <w:t>Questões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236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Afirmação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5</w:t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sz w:val="20"/>
              </w:rPr>
              <w:t>1. O instrutor demonstrou domínio e segurança sobre o conteúdo.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sz w:val="20"/>
              </w:rPr>
              <w:t>2. O instrutor explicou os conceitos de forma clara e organizada.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sz w:val="20"/>
              </w:rPr>
              <w:t>3. O instrutor esclareceu as dúvidas de forma satisfatória.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sz w:val="20"/>
              </w:rPr>
              <w:t>4. O ritmo e a duração da sessão foram adequados ao conteúdo.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sz w:val="20"/>
              </w:rPr>
              <w:t>5. O treinamento contribuiu para a minha atuação e eu recomendaria este instrutor.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 xml:space="preserve"> </w:t>
            </w:r>
          </w:p>
        </w:tc>
      </w:tr>
    </w:tbl>
    <w:p>
      <w:pPr>
        <w:pStyle w:val="Heading2"/>
      </w:pPr>
      <w:r>
        <w:rPr>
          <w:color w:val="1F3864"/>
        </w:rPr>
        <w:t>Comentários e sugestões (opcional)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 w:val="0"/>
                <w:sz w:val="20"/>
              </w:rPr>
              <w:br/>
              <w:br/>
              <w:br/>
            </w:r>
          </w:p>
        </w:tc>
      </w:tr>
    </w:tbl>
    <w:p>
      <w:r>
        <w:rPr>
          <w:i/>
          <w:color w:val="808080"/>
          <w:sz w:val="16"/>
        </w:rPr>
        <w:t>Uso interno · Devolver ao responsável de capacitação. Consolidação no TPL-CAP-002 (Relatório de Eficácia de Treinamento).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