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PCP-PROFARMA01-001   ·   Versão Data   ·   17/07/2025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de Cadastro de Clientes da Rede D1000 é uma API RESTful cloud-native desenvolvida em .NET 8, hospedada no Azure Kubernetes Service (AKS). Substitui a gestão de cadastro dispersa no ITEC legado por uma base única e confiável, com CPF como chave primária, servindo todos os canais da rede.</w:t>
      </w:r>
    </w:p>
    <w:p>
      <w:pPr>
        <w:pStyle w:val="Heading2"/>
        <w:keepNext/>
        <w:keepLines/>
      </w:pPr>
      <w:r>
        <w:t>1.1 Canais e consumidores da API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 /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física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Terminal de atendimento e ponto de venda nas lojas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telefônico centralizado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Mobile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Aplicativo próprio da rede para clientes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App Parceiro (iFood / Rappi)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Mobile / Marketplace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plataformas de entrega de medicamentos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E-commerce VTEX (OMNI)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 / App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digital via plataforma VTEX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parceiro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venda parceiro integrado à rede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1 / Loja 2 / Loja 3 (e demais)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física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Rollout progressivo para todas as lojas da rede após o piloto na loja 9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pStyle w:val="Heading2"/>
        <w:keepNext/>
        <w:keepLines/>
      </w:pPr>
      <w:r>
        <w:t>2.1 Visão de camadas (Clean Architecture)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    API Layer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(Controllers, Middlewares, Authentication)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Application Layer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(Use Cases, Commands, Queries, Handlers, DTOs)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Domain Layer 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(Entities, Value Objects, Domain Events, Interfaces)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└────────────────────────┬────────────────────────────────────┘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┌────────────────────────▼────────────────────────────────────┐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Infrastructure Layer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(EF Core + PostgreSQL, Service Bus, HTTP Clients, Outbox)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2.2 Componentes de infraestrutura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API Gateway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 único para todos os canais; gerencia autenticação, rate limiting e roteamento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Load Balancer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Load Balancer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Distribuição de tráfego entre os pods da API no AKS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Ingress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Kubernetes Ingress Controller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Roteamento interno dos requests para os pods corretos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/ ASP.NET Core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Exposição dos 16 endpoints REST (pods no AKS com auto scaling)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(Flexible Server)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principal dos dados de clientes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objeto-relacional e migrations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Orquestração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(AKS)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containers Docker com auto scaling horizontal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imagens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Container Registry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das imagens Docker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Package management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Gerenciamento dos charts Kubernetes para deploy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assíncrona com Propz CRM e Bot Services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Bot Services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Bot Services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Atendimento automatizado integrado ao canal de mensageria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do outbox e envio ao ITEC legado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Service .NET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Expurgo periódico de dados conforme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 (CD/CI)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Build, testes e deploy automatizados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Monitor + Datadog APM +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(expostas via /metrics)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por Datadog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de credenciais, connection strings e API Keys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</w:t>
      </w:r>
    </w:p>
    <w:p>
      <w:pPr>
        <w:pStyle w:val="Heading2"/>
        <w:keepNext/>
        <w:keepLines/>
      </w:pPr>
      <w:r>
        <w:t>3.1 Tabela principal: `clientes`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sem formatação (apenas dígitos)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nome_completo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completo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data_nascimento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 de nascimento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email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VARCHAR(254)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UNIQUE (por CPF ativo)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principal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com DDD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telefone_secundario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Telefone alternativo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M/F/O (Outro)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TRUE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de atividade do cadastro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motivo_inativacao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Preenchido na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data_inativacao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Data/hora da inativação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data_criacao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registro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data_atualizacao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Última atualização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origem_cadastro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origem: PDV, BALCAO, OMNI, CALLCENTER, MIGRATION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concorrência otimista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Tabela: `clientes_enderecos`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→ clientes.cpf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RESIDENCIAL / COMERCIAL / ENTREGA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CEP sem formatação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logradouro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CHAR(2)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BOOLEAN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FALSE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principal do cliente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Tabela: `outbox_eventos`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 relacionado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tipo_evento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ClienteCriado / ClienteAtualizado / ClienteInativado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completos do cliente no momento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evento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Quando foi consumido pelo worker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Número de tentativas de envio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erro_ultimo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 erro de envio (se houver)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Tabela: `auditoria_clientes`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Coluna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Constraint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registro de auditoria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cpf_cliente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do cliente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VARCHAR(20)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/ ATUALIZACAO / INATIVACAO / REATIVACAO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canal_origem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VARCHAR(50)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BALCAO, OMNI, CALLCENTER, MIGRATION, SISTEMA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dados_anteriores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antes da operação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dados_novos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Snapshot dos dados após a operação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operador_id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VARCHAR(100)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do operador (quando disponível)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realizado_em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TIMESTAMPTZ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NOW()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operação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Padrões e decisões de design</w:t>
      </w:r>
    </w:p>
    <w:p>
      <w:pPr>
        <w:pStyle w:val="Heading2"/>
        <w:keepNext/>
        <w:keepLines/>
      </w:pPr>
      <w:r>
        <w:t>4.1 CPF como chave primária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usar CPF (string de 11 dígitos) como PK em vez de UUID ou BIGINT sequencial.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elimina a necessidade de mapeamento ID↔CPF que existia no ITEC e causava inconsistências. O CPF é o identificador universal do cliente em todos os sistemas satélites da D1000; expor o CPF como PK simplifica todas as integrações.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Trade-off aceito:</w:t>
      </w:r>
      <w:r>
        <w:rPr>
          <w:rFonts w:ascii="Calibri" w:hAnsi="Calibri"/>
          <w:b w:val="0"/>
          <w:i w:val="0"/>
          <w:sz w:val="22"/>
        </w:rPr>
        <w:t xml:space="preserve"> impossibilidade de alterar o CPF (um CPF é vitalício, exceto em casos de retificação judicial, tratados como exceção operacional fora do escopo do sistema).</w:t>
      </w:r>
    </w:p>
    <w:p>
      <w:pPr>
        <w:pStyle w:val="Heading2"/>
        <w:keepNext/>
        <w:keepLines/>
      </w:pPr>
      <w:r>
        <w:t>4.2 Outbox pattern para integração com ITEC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persistir eventos no banco de dados na mesma transação do cadastro/atualização, processar assincronamente via worker.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ITEC legado tem instabilidades de disponibilidade; uma chamada síncrona ao ITEC no caminho crítico da API tornaria o cadastro de clientes dependente da disponibilidade do legado. O outbox garante que o evento nunca se perde mesmo que o ITEC esteja indisponível.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em falha:</w:t>
      </w:r>
      <w:r>
        <w:rPr>
          <w:rFonts w:ascii="Calibri" w:hAnsi="Calibri"/>
          <w:b w:val="0"/>
          <w:i w:val="0"/>
          <w:sz w:val="22"/>
        </w:rPr>
        <w:t xml:space="preserve"> o worker tenta reenviar com backoff exponencial; após 5 tentativas sem sucesso, registra o erro e prossegue (dead-letter manual).</w:t>
      </w:r>
    </w:p>
    <w:p>
      <w:pPr>
        <w:pStyle w:val="Heading2"/>
        <w:keepNext/>
        <w:keepLines/>
      </w:pPr>
      <w:r>
        <w:t>4.3 Concorrência otimista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versao</w:t>
      </w:r>
      <w:r>
        <w:rPr>
          <w:rFonts w:ascii="Calibri" w:hAnsi="Calibri"/>
          <w:b w:val="0"/>
          <w:i w:val="0"/>
          <w:sz w:val="22"/>
        </w:rPr>
        <w:t xml:space="preserve"> (integer) com verificação de concorrência otimista no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modelo de negócio não exige locking pessimista; conflitos de edição simultânea são raros e tratáveis com retry no cliente.</w:t>
      </w:r>
    </w:p>
    <w:p>
      <w:pPr>
        <w:pStyle w:val="Heading2"/>
        <w:keepNext/>
        <w:keepLines/>
      </w:pPr>
      <w:r>
        <w:t>4.4 Separação de queries de leitura (CQRS leve)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handlers de query (leitura) acessam o banco diretamente via Dapper para consultas de alta frequência (GET /clientes/{cpf}); commands (escrita) usam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simplifica e acelera as queries de leitura sem a sobrecarga do EF Core change tracking; mantém o benefício do ORM para operações de escrita com validações de domínio.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Fluxos de integração</w:t>
      </w:r>
    </w:p>
    <w:p>
      <w:pPr>
        <w:pStyle w:val="Heading2"/>
        <w:keepNext/>
        <w:keepLines/>
      </w:pPr>
      <w:r>
        <w:t>5.1 Fluxo de cadastro de novo cliente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Cliente (PDV/Balcão/OMNI)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API Gateway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Valida CPF (formato + Receita Federal)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Verifica duplicata na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cliente (tabela clientes + 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Persiste evento ClienteCriado (tabela outbox_eventos)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 (tabela auditoria_clientes)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[tudo na mesma transação PostgreSQL]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HTTP 201 Created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worker)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ITEC lê outbox_eventos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Chama API ITEC (trigger de sincronização)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Marca evento como processado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(assíncrono, Azure Service Bus)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Worker Propz publica mensagem no Service Bus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Propz CRM consome mensagem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5.2 Fluxo de integração VTEX (OMNI)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VTEX (plataforma e-commerce)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POST /clientes/vtex  (ou GET /clientes/vtex/{cpf})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Autenticação: API Key VTEX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Mapeamento do schema VTEX → schema interno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Executa use case de criação/consulta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Resposta no schema VTEX CustomerProfile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5.3 Worker de expurgo LGPD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Schedule: executado diariamente às 02h00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Consulta clientes: ativo = FALSE AND data_inativacao &lt; NOW() - 5 anos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cada cliente elegível: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Anonimiza: nome → "DADOS ANONIMIZADOS", email → NULL, telefone → NULL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Preserva: CPF, data_nascimento (anonimizado), ativo, data_inativacao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Registra auditoria: operacao = EXPURGO_LGPD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├── Remove endereços (clientes_enderecos)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Log de execução: total processado, erros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Segurança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Mecanismo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Canais PDV, Balcão, VTEX (cabeçalho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X-Api-Key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OAuth 2.0 (Client Credentials)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sistema-a-sistema (Call Center, Propz)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TLS 1.2+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 as comunicações em trânsito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de segredos (connection strings, API Keys, OAuth credentials)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RBAC (AKS)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acesso aos recursos Kubernetes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Row-Level Security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aplicado nesta versão (escopo futuro)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Observabilidade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Aspecto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Implementação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Serilog → Datadog Logs (JSON)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Rastreamento distribuído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 (OpenTelemetry)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custom metrics: cadastros/min, consultas/min, latência p95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Monitors: latência &gt; 500ms, error rate &gt; 1%, outbox_eventos com tentativas &gt;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status de banco, Service Bus e dependências externas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Decisões arquiteturais documentadas (registro de análise)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escolha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como banco principal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(utilizado no ITEC), MongoDB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PostgreSQL: custo Azure menor que SQL Server, suporte excelente a JSONB para o outbox, sem licença adicional; MongoDB descartado pela falta de transações ACID necessárias para o outbox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(string)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gerado internamente com CPF como UNIQUE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elimina nível de indireção; simplicidade das integrações outweighs risco de colisão (CPF é imutável por natureza)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síncrona ao ITEC no request path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tem SLA não garantido; chamada síncrona tornaria o cadastro dependente de disponibilidade do legado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leve (Dapper para leitura)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para tudo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Queries de leitura com Dapper têm latência ~3x menor nos benchmarks internos para o endpoint de maior volume (GET /clientes/{cpf})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síncrono para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definiu interface assíncrona como requisito; Service Bus garante entrega mesmo em indisponibilidade da Propz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Design de produto (UX/UI)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aplicável a este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Cadastro de Clientes — Rede D1000 é uma API RESTful sem interface de usuário própria. Não há telas, wireframes ou fluxos de UX/UI a serem projetados no escopo deste contrato. Os canais de front-end (Balcão, App D1000, VTEX) são sistemas externos que consomem a API; seu design de produto é de responsabilidade das respectivas equipes. A decisão de dispensar o design UX/UI foi registrada em ADAP-PROFARMA01-001 (A-06).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use case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CriarClienteUseCase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ClienteCriado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outbox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/clientes/{cpf}, HEAD /clientes/{cpf} — handler de query via Dapper (§4.4 CQRS leve)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PATCH /clientes/{cpf}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AtualizarClienteUseCase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ClienteAtualizado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DELETE /clientes/{cpf}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InativarClienteUseCase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evento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ClienteInativado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 — query paginada via Dapper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preenchida em todas as operações de escrita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/clientes/lote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MigrationWorker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service, processo batch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PUT /clientes/{cpf}/reativar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ReativarClienteUseCase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Outbox pattern (§4.2),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ItecWorker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POST /clientes/vtex, GET /clientes/vtex/{cpf} — adaptadores de schema VTEX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Infrastructure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 — handler com SLA 500ms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PropzWorker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Azure Service Bus (§2.2)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/clientes/{cpf}/programa-beneficios — HTTP client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BlueSoftClient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/clientes/{cpf}/perfil-completo — HTTP client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CloseUpClient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LgpdExpurgoWorker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background service (§5.3)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GET /health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HealthCheckController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verificação de DB, Service Bus e dependências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/metrics — Prometheus endpoint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Clean Architecture em 4 camadas (§2.1)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Database for PostgreSQL — 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clientes_enderecos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(§3)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com auto scaling, Azure Container Registry, Helm (§2.2)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para segredos (§6)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 (PDV/Balcão/VTEX) + OAuth 2.0 (Call Center/Propz) — §6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RNF-06, RNF-07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leve com Dapper (§4.4); Datadog APM (§7); pool de conexões PostgreSQL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auto scaling + Azure Load Balancer (§2.2) + Datadog Monitors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com backup automático 7 dias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(RF-05), worker de expurgo LGPD (RF-17), log de auditoria (RF-07)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cenários de teste unitário (VV-PROFARMA01-001 §3.2); cobertura 84% Domain + Application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Pipelines: build → testes → deploy (§2.2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APM, Logs, Monitors (§7)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Armando Junior (D1000) registrada em §11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11. Avaliação e aprovação do design (PCP2)</w:t>
      </w:r>
    </w:p>
    <w:p>
      <w:pPr>
        <w:pStyle w:val="Heading2"/>
        <w:keepNext/>
        <w:keepLines/>
      </w:pPr>
      <w:r>
        <w:t>11.1 Revisão do design arquitetural — 17/07/2025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arquitetural — diagrama completo da solução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Desenho de arquitetura — Cadastro de Cliente (diagrama Azure Architecture)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(Tech Lead / Arquiteto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de comunicação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WhatsApp + e-mail (confirmados em 17/07/2025)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Armando Junior confirmou o recebimento e o aceite do design por mensagem direta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diagrama de arquitetura foi compartilhado pelo Gerente de Projeto (Abraão Oliveira) com Armando Junior em 17/07/2025 via WhatsApp e e-mail. O diagrama mostra a arquitetura completa da solução: Azure API Gateway, Load Balancer, AKS (pods com auto scaling), PostgreSQL, Azure Service Bus, Azure Monitor, Key Vault, Container Registry, Helm, Datadog e todos os sistemas de integração (ITEC, VTEX, Propz, Plusoft/Conveniados, Bot Services, Delage). Armando Junior confirmou o recebimento e aprovação do design na mesma data.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aprovação do design arquitetural pelo Tech Lead D1000 (Armando Junior) é também um requisito formal do projeto conforme RNF-14 e DA-01 a DA-05 (registrados no GDE-PROFARMA01-001).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Evidência física:</w:t>
      </w:r>
      <w:r>
        <w:rPr>
          <w:rFonts w:ascii="Calibri" w:hAnsi="Calibri"/>
          <w:b w:val="0"/>
          <w:i w:val="0"/>
          <w:sz w:val="22"/>
        </w:rPr>
        <w:t xml:space="preserve"> print da conversa do WhatsApp de 17/07/2025 com Armando Junior, com data, remetente e mensagem de confirmação.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arquitetura macro e decisões DA-01 a DA-03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do modelo de dados completo, fluxo de integração VTEX, decisões DA-04 e DA-05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Atualização: worker LGPD, segurança OAuth 2.0 para Call Center, integrações BlueSoft e CloseUp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consolidação final após piloto loja 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§1.1 (canais completos do diagrama), atualização de §2.2 (API Gateway, Container Registry, Helm, Bot Services, Azure Monitor), adição de §9 (avaliação do design por Armando Junior — 17/07/2025)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§9 "Design de produto (UX/UI) — não aplicável" e §10 "Rastreabilidade requisito → design" (conformidade com TPL-PCP-001); seção de avaliação renumerada para §11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17/07/2025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17/07/2025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PCP-PROFARMA01-001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