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GERÊNCIA DE CONFIGURAÇÃO — AASP_CNJ · WORKERANDAMENTOS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GCO-AASPCNJ01-001   ·   Versão 1.1   ·   17/06/2026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GCO-AASPCNJ01-001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AASP_CNJ — WorkerAndamentos: Agente de Captura de Andamentos Processuais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 / Responsável GCO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Registrar o gerenciamento de configuração do projeto: itens de configuração (ICs), estratégia de controle de versão, baselines e gestão de mudanças. Conforme ADAP-AASPCNJ01-001, o papel de responsável por GCO foi acumulado pelo Gerente de Projeto (Abraão Oliveira), dada a maturidade do controle de versão via GitLab e GitFlow.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Estratégia de gerência de configuração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Plataforma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GitLab (controle de versão e pipeline CI/CD)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Modelo de branching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GitFlow — feature/* e bugfix/* → develop; release → main; hotfix/* sobre a baseline de release publicada (homologação/produção)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</w:r>
            <w:r>
              <w:rPr>
                <w:rFonts w:ascii="Calibri" w:hAnsi="Calibri"/>
                <w:b w:val="0"/>
                <w:i w:val="0"/>
                <w:sz w:val="20"/>
              </w:rPr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</w:r>
            <w:r>
              <w:rPr>
                <w:rFonts w:ascii="Calibri" w:hAnsi="Calibri"/>
                <w:b w:val="0"/>
                <w:i w:val="0"/>
                <w:sz w:val="20"/>
              </w:rPr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</w:r>
            <w:r>
              <w:rPr>
                <w:rFonts w:ascii="Calibri" w:hAnsi="Calibri"/>
                <w:b w:val="0"/>
                <w:i w:val="0"/>
                <w:sz w:val="20"/>
              </w:rPr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</w:r>
            <w:r>
              <w:rPr>
                <w:rFonts w:ascii="Calibri" w:hAnsi="Calibri"/>
                <w:b w:val="0"/>
                <w:i w:val="0"/>
                <w:sz w:val="20"/>
              </w:rPr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</w:r>
            <w:r>
              <w:rPr>
                <w:rFonts w:ascii="Calibri" w:hAnsi="Calibri"/>
                <w:b w:val="0"/>
                <w:i w:val="0"/>
                <w:sz w:val="20"/>
              </w:rPr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</w:r>
            <w:r>
              <w:rPr>
                <w:rFonts w:ascii="Calibri" w:hAnsi="Calibri"/>
                <w:b w:val="0"/>
                <w:i w:val="0"/>
                <w:sz w:val="20"/>
              </w:rPr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Convenção de tags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Numeração sequencial de versão (ex.: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v240</w:t>
            </w:r>
            <w:r>
              <w:rPr>
                <w:rFonts w:ascii="Calibri" w:hAnsi="Calibri"/>
                <w:b w:val="0"/>
                <w:i w:val="0"/>
                <w:sz w:val="20"/>
              </w:rPr>
              <w:t>, referenciada nas atividades de GMUD)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Aprovação de MR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Mínimo 1 revisor além do autor para merge de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feature</w:t>
            </w:r>
            <w:r>
              <w:rPr>
                <w:rFonts w:ascii="Calibri" w:hAnsi="Calibri"/>
                <w:b w:val="0"/>
                <w:i w:val="0"/>
                <w:sz w:val="20"/>
              </w:rPr>
              <w:t>/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bugfix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develop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Gestão de segredos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Token Bearer da CNJ centralizado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PonteAPI</w:t>
            </w:r>
            <w:r>
              <w:rPr>
                <w:rFonts w:ascii="Calibri" w:hAnsi="Calibri"/>
                <w:b w:val="0"/>
                <w:i w:val="0"/>
                <w:sz w:val="20"/>
              </w:rPr>
              <w:t>, sem exposição em logs (RNF-05)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Coleções Postman da API CNJ e scripts de banco versionados no GitLab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Itens de configuração (ICs)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Repositório / Localização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Código-fonte (.NET)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WorkerAndamentos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GitLab — repositório WorkerAndamentos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Código-fonte (.NET)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CapturaServer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GitLab — repositório CapturaServer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Código-fonte (.NET)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AndamentosProcessuais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GitLab — repositório AndamentosProcessuais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Banco de dados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Scripts DDL / migrations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GitLab — pasta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/db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do repositório correspondente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Artefato de implantação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Pacotes de publicação (GMUD)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Servidor de artefatos interno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Documentação de API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Coleções Postman da API CNJ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GitLab — pasta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/docs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IC-07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Artefato de gestão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Planilha de gestão (backlog, sprints, tarefas) — base para carga no Jira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GEST-AASPCNJ01_Planilha-de-Gestao-do-Projeto.xlsx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Baselines estabelecidas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Referência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Componentes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BL-EPROC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 de publicação do fluxo EPROC/ESAJ (pós-Fase 3)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v230 (GMUD EPROC)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IC-01, IC-02, IC-03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BL-CNJ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 de publicação do fluxo CNJ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v240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(referenciada nas atividades de GMUD)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IC-01, IC-02, IC-03, IC-04</w:t>
            </w:r>
          </w:p>
        </w:tc>
      </w:tr>
      <w:tr>
        <w:tc>
          <w:tcPr>
            <w:tcW w:type="dxa" w:w="2225"/>
          </w:tcPr>
          <w:p>
            <w:r>
              <w:t>BL-HOTFIX</w:t>
            </w:r>
          </w:p>
        </w:tc>
        <w:tc>
          <w:tcPr>
            <w:tcW w:type="dxa" w:w="2225"/>
          </w:tcPr>
          <w:p>
            <w:r>
              <w:t>Correção de contenção em homologação (pré-go-live): nullabilidade no consumidor da fila</w:t>
            </w:r>
          </w:p>
        </w:tc>
        <w:tc>
          <w:tcPr>
            <w:tcW w:type="dxa" w:w="2225"/>
          </w:tcPr>
          <w:p>
            <w:r>
              <w:t>v241 (referenciada nas atividades de GMUD)</w:t>
            </w:r>
          </w:p>
        </w:tc>
        <w:tc>
          <w:tcPr>
            <w:tcW w:type="dxa" w:w="2225"/>
          </w:tcPr>
          <w:p>
            <w:r>
              <w:t>IC-01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A baseline de encerramento será registrada no fechamento do projeto (Onda 3).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Gestão de mudanças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Mudanças de escopo/arquitetura são formalizadas em reuniões de alinhamento registradas como atividades no ClickUp (participantes, data, decisões e impacto).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 interrupção do desenvolvimento da captura de 2ª instância no EPROC (card 4462) foi acordada formalmente com o cliente, com retomada planejada — formalizada em CR-AASPCNJ01-001.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 implantação em produção segue o rito de GMUD: montagem de pacote, validação em homologação e agendamento com a Infraestrutura.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Auditoria de configuração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 verificado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ICs versionados no GitLab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IC-01 a IC-04 nos repositórios; IC-06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/docs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 de publicação identificada por tag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v230, v240 e v241 referenciadas nas atividades de GMUD</w:t>
            </w:r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Token/segredos não expostos em logs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Token Bearer centralizado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PonteAPI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(RNF-05)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Merges revisados antes da integração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MR com no mínimo 1 revisor além do autor (ver REV-AASPCNJ01-001) (no GitLab o merge exige aprovação de ≥1 revisor via branch policy)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A auditoria de configuração de encerramento será registrada no fechamento do projeto.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Evidências</w:t>
      </w:r>
    </w:p>
    <w:p>
      <w:pPr>
        <w:pStyle w:val="ListBullet"/>
      </w:pPr>
      <w:r>
        <w:t>gco-branches-gitflow.png — Branches do projeto AASP/CNJ no GitLab (GitFlow): develop/homolog/prod protegidas + feature/release/hotfix</w:t>
      </w:r>
    </w:p>
    <w:p>
      <w:pPr>
        <w:pStyle w:val="ListBullet"/>
      </w:pPr>
      <w:r>
        <w:t>gco-pr-aprovado-1.png — Merge Request !12 (feature/23-segredo-instancia → develop) revisado e aprovado no GitLab</w:t>
      </w:r>
    </w:p>
    <w:p>
      <w:pPr>
        <w:pStyle w:val="ListBullet"/>
      </w:pPr>
      <w:r>
        <w:t>gco-pr-aprovado-2.png — Merge Request !13 (feature/27-retry-webhook → develop) revisado por Cézar Hiraki Velázquez</w:t>
      </w:r>
    </w:p>
    <w:p>
      <w:pPr>
        <w:pStyle w:val="ListBullet"/>
      </w:pPr>
      <w:r>
        <w:t>gco-tags-baseline.png — Tags/releases de baseline no GitLab: v2.0.0 (BL-CNJ), v2.0.1 (patch), v2.0.2 (BL-HOTFIX)</w:t>
      </w:r>
    </w:p>
    <w:p>
      <w:pPr>
        <w:pStyle w:val="ListBullet"/>
      </w:pPr>
      <w:r>
        <w:t>estrutura_cnj.png — Estrutura do repositório CNJ no GitLab (CapturaServices + WorkerAndamentos, com .gitlab-ci.yml)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01/10/2025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 (Gerente de Projeto / Responsável GCO)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gerência de configuração inicial.</w:t>
            </w:r>
          </w:p>
        </w:tc>
      </w:tr>
      <w:tr>
        <w:tc>
          <w:tcPr>
            <w:tcW w:type="dxa" w:w="2225"/>
          </w:tcPr>
          <w:p>
            <w:r>
              <w:t>1.1</w:t>
            </w:r>
          </w:p>
        </w:tc>
        <w:tc>
          <w:tcPr>
            <w:tcW w:type="dxa" w:w="2225"/>
          </w:tcPr>
          <w:p>
            <w:r>
              <w:t>17/06/2026</w:t>
            </w:r>
          </w:p>
        </w:tc>
        <w:tc>
          <w:tcPr>
            <w:tcW w:type="dxa" w:w="2225"/>
          </w:tcPr>
          <w:p>
            <w:r>
              <w:t>Abraão Oliveira (Gerente de Projeto / Responsável GCO)</w:t>
            </w:r>
          </w:p>
        </w:tc>
        <w:tc>
          <w:tcPr>
            <w:tcW w:type="dxa" w:w="2225"/>
          </w:tcPr>
          <w:p>
            <w:r>
              <w:t>Plataforma de versionamento corrigida (Azure DevOps → GitLab); legendas das evidências alinhadas ao conteúdo (Merge Requests !12/!13, tags v2.0.x); imagem de estrutura atualizada (estrutura_cnj, com .gitlab-ci.yml).</w:t>
            </w:r>
          </w:p>
        </w:tc>
      </w:tr>
    </w:tbl>
    <w:p>
      <w:pPr>
        <w:spacing w:before="0" w:after="160"/>
      </w:pPr>
    </w:p>
    <w:p>
      <w:pPr>
        <w:pStyle w:val="Heading1"/>
      </w:pPr>
      <w:r>
        <w:t>Evidências (anexos)</w:t>
      </w:r>
    </w:p>
    <w:p>
      <w:r>
        <w:t>Branches no GitLab (GitFlow): develop/homolog/prod protegidas, feature/release/hotfix — projeto AASP/CNJ</w:t>
      </w:r>
    </w:p>
    <w:p>
      <w:r>
        <w:drawing>
          <wp:inline xmlns:a="http://schemas.openxmlformats.org/drawingml/2006/main" xmlns:pic="http://schemas.openxmlformats.org/drawingml/2006/picture">
            <wp:extent cx="5400000" cy="31273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co-branches-gitflow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27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Merge Request !12 no GitLab (feature/23-segredo-instancia → develop) — revisado pelo Tech Lead e mergeado por Cézar Hiraki Velázquez; Definition of Done completo</w:t>
      </w:r>
    </w:p>
    <w:p>
      <w:r>
        <w:drawing>
          <wp:inline xmlns:a="http://schemas.openxmlformats.org/drawingml/2006/main" xmlns:pic="http://schemas.openxmlformats.org/drawingml/2006/picture">
            <wp:extent cx="5400000" cy="312730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co-pr-aprovado-1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27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Merge Request !13 no GitLab (feature/27-retry-webhook → develop, Caroline Sousa) — revisado por Cézar Hiraki Velázquez; fecha as issues #16 e #17</w:t>
      </w:r>
    </w:p>
    <w:p>
      <w:r>
        <w:drawing>
          <wp:inline xmlns:a="http://schemas.openxmlformats.org/drawingml/2006/main" xmlns:pic="http://schemas.openxmlformats.org/drawingml/2006/picture">
            <wp:extent cx="5400000" cy="312730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co-pr-aprovado-2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27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Tags/releases no GitLab: v2.0.0 (BL-CNJ — baseline DataJud/CNJ), v2.0.1 (patch pós-deploy), v2.0.2 (BL-HOTFIX)</w:t>
      </w:r>
    </w:p>
    <w:p>
      <w:r>
        <w:drawing>
          <wp:inline xmlns:a="http://schemas.openxmlformats.org/drawingml/2006/main" xmlns:pic="http://schemas.openxmlformats.org/drawingml/2006/picture">
            <wp:extent cx="5400000" cy="312730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27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Estrutura do repositório CNJ no GitLab — solução CapturaServices + WorkerAndamentos, com .gitlab-ci.yml</w:t>
      </w:r>
    </w:p>
    <w:p>
      <w:r>
        <w:drawing>
          <wp:inline xmlns:a="http://schemas.openxmlformats.org/drawingml/2006/main" xmlns:pic="http://schemas.openxmlformats.org/drawingml/2006/picture">
            <wp:extent cx="2300000" cy="560903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rutura_cnj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300000" cy="5609032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GCO-AASPCNJ01-001</w:t>
    </w:r>
    <w:r>
      <w:tab/>
    </w:r>
    <w:r>
      <w:rPr>
        <w:rFonts w:ascii="Calibri" w:hAnsi="Calibri"/>
        <w:color w:val="555555"/>
        <w:sz w:val="18"/>
      </w:rPr>
      <w:t>Gerência de Configuração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23" Type="http://schemas.openxmlformats.org/officeDocument/2006/relationships/image" Target="media/image11.png"/><Relationship Id="rId24" Type="http://schemas.openxmlformats.org/officeDocument/2006/relationships/image" Target="media/image12.png"/><Relationship Id="rId25" Type="http://schemas.openxmlformats.org/officeDocument/2006/relationships/image" Target="media/image13.png"/><Relationship Id="rId26" Type="http://schemas.openxmlformats.org/officeDocument/2006/relationships/image" Target="media/image14.png"/><Relationship Id="rId13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