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DE HOMOLOGAÇÃO EPROC/ESAJ E DEVOLUTIVA AOS ASSOCIADOS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Incluir um escopo adicional de homologação da captura EPROC/ESAJ por amostragem e a devolutiva aos associados da AASP sobre o resultado em produção, durante as Fases 1–2.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Garantir a validação dos critérios de aceite em ambiente compartilhado (sem Elasticsearch dedicado) e dar retorno formal aos associados sobre o monitoramento dos processos.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homologação por amostragem + devolutiva aos associados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h, absorvidas na Fase 2 — sem impacto no prazo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absorvido pelo time, sem custo extra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atividade de validação reduz o risco de regressão (R-01)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(fluxo EPROC/ESAJ) e na baseline de configuração (GCO-AASPAP01-001). O esforço adicional foi absorvido na Fase 2, sem alteração do prazo final do projeto (ver RAC-AASPAP01-001).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CR-AASPAP01-001 (homologação EPROC/ESAJ e devolutiva),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