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MATRIZ DE RASTREABILIDADE — AASP_CNJ · WORKERANDAMENTOS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RASTR-AASPCNJ01-001   ·   Versão 1.0   ·   11/06/2026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RASTR-AASPCNJ01-001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AASP_CNJ — WorkerAndamentos: Agente de Captura de Andamentos Processuais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11/06/2026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Matriz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Rastreabilidade bidirecional (REQ 4): de cada requisito ao design, à fonte de captura/componente e ao critério de aceite que o verifica.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272"/>
        <w:gridCol w:w="1272"/>
        <w:gridCol w:w="1272"/>
        <w:gridCol w:w="1272"/>
        <w:gridCol w:w="1272"/>
        <w:gridCol w:w="1272"/>
        <w:gridCol w:w="1272"/>
      </w:tblGrid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Necessidade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Requisito (ID)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História (Jira)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 de design (PCP)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Componente / fonte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 de aceite (VV)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</w:t>
            </w:r>
          </w:p>
        </w:tc>
      </w:tr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Custo e cobertura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RF-01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US-04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Captura DataJud/CNJ (fallback nível 1)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WorkerAndamentos +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PonteAPI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CA01, CA04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Atendido</w:t>
            </w:r>
          </w:p>
        </w:tc>
      </w:tr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Estabilidade de captura TJSP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RF-02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US-01 / US-03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Engine EPROC/ESAJ (fallback nível 2)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WorkerAndamentos (Puppeteer)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CA01, CA05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Atendido</w:t>
            </w:r>
          </w:p>
        </w:tc>
      </w:tr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Arquitetura unificada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RF-03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US-09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Leitura unificada da fila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WorkerAndamentos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CA01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Atendido</w:t>
            </w:r>
          </w:p>
        </w:tc>
      </w:tr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Custo de parceiras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RF-04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US-10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Rotina de desligamento de NUP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API AndamentosProcessuais (webhook)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CA06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Atendido</w:t>
            </w:r>
          </w:p>
        </w:tc>
      </w:tr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Operacional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RF-05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US-05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Token Bearer compartilhado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PonteAPI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CA01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Atendido</w:t>
            </w:r>
          </w:p>
        </w:tc>
      </w:tr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Rastreabilidade da fonte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RF-06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US-06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Campo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CodigoFonteAPI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ProcessoCaptura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CA01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Atendido</w:t>
            </w:r>
          </w:p>
        </w:tc>
      </w:tr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Resiliência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RF-07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US-11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Fallback por prioridade (nível 3)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APIEmpresa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CA05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Atendido</w:t>
            </w:r>
          </w:p>
        </w:tc>
      </w:tr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Tratamento de retornos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RF-08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US-12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Tratamento de NUP inválido/vazio/erro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WorkerAndamentos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CA05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Atendido</w:t>
            </w:r>
          </w:p>
        </w:tc>
      </w:tr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Observabilidade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RF-09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US-14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Campo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Observacao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por instância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ProcessoCapturaLogin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CA05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Atendido</w:t>
            </w:r>
          </w:p>
        </w:tc>
      </w:tr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Segredo de justiça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RF-10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US-13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Campo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Segredo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por instância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ProcessoCapturaLogin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CA07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Atendido</w:t>
            </w:r>
          </w:p>
        </w:tc>
      </w:tr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Entrega ao Elasticsearch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RF-11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US-07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Webhook → indexação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AndamentosProcessuais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CA04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Atendido</w:t>
            </w:r>
          </w:p>
        </w:tc>
      </w:tr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Enfileiramento unificado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RF-12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US-08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Enfileiramento no RabbitMQ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CapturaServer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CA01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Atendido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Cobertura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Requisitos sem cobertura de teste/critério:</w:t>
      </w:r>
      <w:r>
        <w:rPr>
          <w:rFonts w:ascii="Calibri" w:hAnsi="Calibri"/>
          <w:b w:val="0"/>
          <w:i w:val="0"/>
          <w:sz w:val="22"/>
        </w:rPr>
        <w:t xml:space="preserve"> nenhum — todos os RFs têm critério de aceite associado (CA01–CA07).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Itens desenvolvidos sem requisito associado:</w:t>
      </w:r>
      <w:r>
        <w:rPr>
          <w:rFonts w:ascii="Calibri" w:hAnsi="Calibri"/>
          <w:b w:val="0"/>
          <w:i w:val="0"/>
          <w:sz w:val="22"/>
        </w:rPr>
        <w:t xml:space="preserve"> nenhum identificado.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Os requisitos não funcionais (RNF-01 a RNF-06) são verificados de forma transversal: RNF-01/02 nos testes de desempenho e de recuperação de fila; RNF-03/04 no design das tabelas de controle e do roteamento; RNF-05 na gestão centralizada do token; RNF-06 nos indicadores de custo (MED-AASPCNJ01-001).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Histórias de usuário (US-01 a US-20)</w:t>
      </w:r>
      <w:r>
        <w:rPr>
          <w:rFonts w:ascii="Calibri" w:hAnsi="Calibri"/>
          <w:b w:val="0"/>
          <w:i w:val="0"/>
          <w:sz w:val="22"/>
        </w:rPr>
        <w:t xml:space="preserve"> derivadas dos requisitos e seu mapeamento a épicos, sprints e tarefas: ver GEST-AASPCNJ01-001 (abas Backlog e Tarefas).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Controle de atualizações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 da mudança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11/06/2026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Matriz de rastreabilidade consolidada a partir do Registro de Projeto AASP_CNJ v1.0 (08/06/2026).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11/06/2026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11/06/2026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RASTR-AASPCNJ01-001</w:t>
    </w:r>
    <w:r>
      <w:tab/>
    </w:r>
    <w:r>
      <w:rPr>
        <w:rFonts w:ascii="Calibri" w:hAnsi="Calibri"/>
        <w:color w:val="555555"/>
        <w:sz w:val="18"/>
      </w:rPr>
      <w:t>Engenharia de Requisitos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