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1F497D"/>
          <w:sz w:val="32"/>
        </w:rPr>
        <w:t>Painel de Portfólio de Projetos — TIMEWARE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Campo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Valor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Documento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REG-OSW-001 — Painel de Portfólio de Projetos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Versão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Data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13/06/2026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Organização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Responsável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COO (Operações) — escritório de portfólio de projetos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OSW (evidência organizacional — OSW 8, OSW 9, OSW 10)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Registro organizacional de governança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1. Objetivo</w:t>
      </w:r>
    </w:p>
    <w:p>
      <w:pPr>
        <w:spacing w:after="80"/>
      </w:pPr>
      <w:r>
        <w:rPr>
          <w:b w:val="0"/>
          <w:i w:val="0"/>
          <w:sz w:val="20"/>
        </w:rPr>
        <w:t xml:space="preserve">Registrar, de forma consolidada e auditável, a situação do </w:t>
      </w:r>
      <w:r>
        <w:rPr>
          <w:b/>
          <w:i w:val="0"/>
          <w:sz w:val="20"/>
        </w:rPr>
        <w:t>portfólio de projetos</w:t>
      </w:r>
      <w:r>
        <w:rPr>
          <w:b w:val="0"/>
          <w:i w:val="0"/>
          <w:sz w:val="20"/>
        </w:rPr>
        <w:t xml:space="preserve"> da Timeware no período de referência: os projetos em andamento e concluídos, sua priorização, a alocação dos recursos compartilhados e o acompanhamento dos compromissos assumidos.</w:t>
      </w:r>
    </w:p>
    <w:p>
      <w:pPr>
        <w:spacing w:after="80"/>
      </w:pPr>
      <w:r>
        <w:rPr>
          <w:b w:val="0"/>
          <w:i w:val="0"/>
          <w:sz w:val="20"/>
        </w:rPr>
        <w:t xml:space="preserve">Este painel materializa, para fins de avaliação, a gestão de portfólio definida em </w:t>
      </w:r>
      <w:r>
        <w:rPr>
          <w:b/>
          <w:i w:val="0"/>
          <w:sz w:val="20"/>
        </w:rPr>
        <w:t>PRO-OSW-002</w:t>
      </w:r>
      <w:r>
        <w:rPr>
          <w:b w:val="0"/>
          <w:i w:val="0"/>
          <w:sz w:val="20"/>
        </w:rPr>
        <w:t>. A operação corrente (quadro de capacity e situação dos projetos) é mantida no Jira e no Confluence, conforme PRO-OSW-002 §4.1; este documento é o recorte consolidado (snapshot) dessa operação.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2. Período e fonte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Item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Descrição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Período de referência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Abr/2025 – Jun/2026 (ciclo de implantação MPS-SW Nível C)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Data do snapshot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13/06/2026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Fontes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Jira (situação dos projetos e quadro de capacity), Confluence (atas de priorização e de análise crítica), registros de projeto (04_registros)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Responsável pela consolidação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COO (Operações), com apoio do Time de Melhoria Contínua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3. Portfólio — situação consolidada (snapshot)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Projeto</w:t>
            </w:r>
          </w:p>
        </w:tc>
        <w:tc>
          <w:tcPr>
            <w:tcW w:type="dxa" w:w="156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Cliente</w:t>
            </w:r>
          </w:p>
        </w:tc>
        <w:tc>
          <w:tcPr>
            <w:tcW w:type="dxa" w:w="156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Natureza</w:t>
            </w:r>
          </w:p>
        </w:tc>
        <w:tc>
          <w:tcPr>
            <w:tcW w:type="dxa" w:w="156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Período</w:t>
            </w:r>
          </w:p>
        </w:tc>
        <w:tc>
          <w:tcPr>
            <w:tcW w:type="dxa" w:w="156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Situação</w:t>
            </w:r>
          </w:p>
        </w:tc>
        <w:tc>
          <w:tcPr>
            <w:tcW w:type="dxa" w:w="156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Registros de origem</w:t>
            </w:r>
          </w:p>
        </w:tc>
      </w:tr>
      <w:tr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Cadastro de Clientes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Profarma S.A. / Rede D1000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Desenvolvimento de software (modernização de cadastro)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Abr/2025 – Jan/2026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Concluído (aceite final)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04_registros/PROFARMA_Cadastro-de-Clientes</w:t>
            </w:r>
          </w:p>
        </w:tc>
      </w:tr>
      <w:tr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SuperApp Força de Vendas — Pacote 1 (Metas e RV)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Fruki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Desenvolvimento mobile (React Native)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Jun/2025 – Set/2025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Concluído (piloto + aceite)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04_registros/FTFRUKI_SuperApp-Forca-de-Vendas</w:t>
            </w:r>
          </w:p>
        </w:tc>
      </w:tr>
      <w:tr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SuperApp Força de Vendas — Pacote Final 24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Fruki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Desenvolvimento mobile (React Native)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Concluído (aceite 15/01/2026)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04_registros/FTFRUKI_SuperApp-Forca-de-Vendas</w:t>
            </w:r>
          </w:p>
        </w:tc>
      </w:tr>
      <w:tr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Fundação Tecnológica — Governança de APIs (OS-001 e OS-002)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Configuração cloud (Azure API Management)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Abr/2026 – Jun/2026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✅ Concluído (OS-002 encerrada 09/06/2026)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04_registros/FTGASMIG_Governanca-APIs</w:t>
            </w:r>
          </w:p>
        </w:tc>
      </w:tr>
      <w:tr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WorkerAndamentos — Captura de Andamentos Processuais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Desenvolvimento back-end / worker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9 meses (em curso)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🟡 Em execução (encerramento previsto 30/06/2026)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04_registros/AASP_CNJ</w:t>
            </w:r>
          </w:p>
        </w:tc>
      </w:tr>
    </w:tbl>
    <w:p/>
    <w:p>
      <w:pPr>
        <w:ind w:left="432"/>
      </w:pPr>
      <w:r>
        <w:rPr>
          <w:b w:val="0"/>
          <w:i/>
          <w:color w:val="606060"/>
          <w:sz w:val="20"/>
        </w:rPr>
        <w:t>Os projetos acima compõem o portfólio do ciclo. Demais oportunidades em prospecção são qualificadas pela área comercial e só entram no portfólio após aprovação da priorização (§4).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4. Priorização aplicada (OSW 8)</w:t>
      </w:r>
    </w:p>
    <w:p>
      <w:pPr>
        <w:spacing w:after="80"/>
      </w:pPr>
      <w:r>
        <w:rPr>
          <w:b w:val="0"/>
          <w:i w:val="0"/>
          <w:sz w:val="20"/>
        </w:rPr>
        <w:t xml:space="preserve">A priorização das oportunidades e dos projetos é conduzida pelo </w:t>
      </w:r>
      <w:r>
        <w:rPr>
          <w:b/>
          <w:i w:val="0"/>
          <w:sz w:val="20"/>
        </w:rPr>
        <w:t>COO (Operações)</w:t>
      </w:r>
      <w:r>
        <w:rPr>
          <w:b w:val="0"/>
          <w:i w:val="0"/>
          <w:sz w:val="20"/>
        </w:rPr>
        <w:t>, conforme os critérios de PRO-OSW-002 §3:</w:t>
      </w:r>
    </w:p>
    <w:p>
      <w:pPr>
        <w:pStyle w:val="ListBullet"/>
        <w:spacing w:before="0" w:after="0"/>
      </w:pPr>
      <w:r>
        <w:rPr>
          <w:b/>
          <w:i w:val="0"/>
          <w:sz w:val="20"/>
        </w:rPr>
        <w:t>alinhamento com os objetivos de negócio</w:t>
      </w:r>
      <w:r>
        <w:rPr>
          <w:b w:val="0"/>
          <w:i w:val="0"/>
          <w:sz w:val="20"/>
        </w:rPr>
        <w:t xml:space="preserve"> (crescer com qualidade e previsibilidade);</w:t>
      </w:r>
    </w:p>
    <w:p>
      <w:pPr>
        <w:pStyle w:val="ListBullet"/>
        <w:spacing w:before="0" w:after="0"/>
      </w:pPr>
      <w:r>
        <w:rPr>
          <w:b/>
          <w:i w:val="0"/>
          <w:sz w:val="20"/>
        </w:rPr>
        <w:t>compromissos contratuais e prazos</w:t>
      </w:r>
      <w:r>
        <w:rPr>
          <w:b w:val="0"/>
          <w:i w:val="0"/>
          <w:sz w:val="20"/>
        </w:rPr>
        <w:t xml:space="preserve"> com clientes;</w:t>
      </w:r>
    </w:p>
    <w:p>
      <w:pPr>
        <w:pStyle w:val="ListBullet"/>
        <w:spacing w:before="0" w:after="0"/>
      </w:pPr>
      <w:r>
        <w:rPr>
          <w:b/>
          <w:i w:val="0"/>
          <w:sz w:val="20"/>
        </w:rPr>
        <w:t>disponibilidade de recursos</w:t>
      </w:r>
      <w:r>
        <w:rPr>
          <w:b w:val="0"/>
          <w:i w:val="0"/>
          <w:sz w:val="20"/>
        </w:rPr>
        <w:t>, especialmente os compartilhados (Tech Lead, Arquiteto, Product Owner);</w:t>
      </w:r>
    </w:p>
    <w:p>
      <w:pPr>
        <w:pStyle w:val="ListBullet"/>
        <w:spacing w:before="0" w:after="0"/>
      </w:pPr>
      <w:r>
        <w:rPr>
          <w:b/>
          <w:i w:val="0"/>
          <w:sz w:val="20"/>
        </w:rPr>
        <w:t>retorno e relevância estratégica.</w:t>
      </w:r>
    </w:p>
    <w:p>
      <w:pPr>
        <w:spacing w:after="80"/>
      </w:pPr>
      <w:r>
        <w:rPr>
          <w:b w:val="0"/>
          <w:i w:val="0"/>
          <w:sz w:val="20"/>
        </w:rPr>
        <w:t>No período de referência, os projetos foram assumidos de forma escalonada, respeitando a capacidade real da organização: a entrada da Fundação Tecnológica GASMIG (abr/2026) ocorreu após a conclusão dos pacotes do SuperApp Fruki (jan/2026), evitando sobreposição dos recursos técnicos compartilhados. A decisão de assumir cada projeto e sua ordem de prioridade é registrada nas atas do escritório de portfólio (Confluence).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5. Recursos, capacidade e autoridade (OSW 9)</w:t>
      </w:r>
    </w:p>
    <w:p>
      <w:pPr>
        <w:pStyle w:val="Heading3"/>
      </w:pPr>
      <w:r>
        <w:rPr>
          <w:b/>
          <w:color w:val="1F497D"/>
          <w:sz w:val="22"/>
        </w:rPr>
        <w:t>5.1. Quadro de capacity</w:t>
      </w:r>
    </w:p>
    <w:p>
      <w:pPr>
        <w:spacing w:after="80"/>
      </w:pPr>
      <w:r>
        <w:rPr>
          <w:b w:val="0"/>
          <w:i w:val="0"/>
          <w:sz w:val="20"/>
        </w:rPr>
        <w:t xml:space="preserve">A alocação dos recursos compartilhados (Tech Lead, Arquiteto, Product Owner) entre os projetos é registrada no </w:t>
      </w:r>
      <w:r>
        <w:rPr>
          <w:b/>
          <w:i w:val="0"/>
          <w:sz w:val="20"/>
        </w:rPr>
        <w:t>quadro de capacity</w:t>
      </w:r>
      <w:r>
        <w:rPr>
          <w:b w:val="0"/>
          <w:i w:val="0"/>
          <w:sz w:val="20"/>
        </w:rPr>
        <w:t xml:space="preserve"> mantido no Jira, conforme a estrutura e a cadência definidas em PRO-OSW-002 §4.1 (campos: colaborador, projeto, alocação %, período, status; revisão antes de cada sprint).</w:t>
      </w:r>
    </w:p>
    <w:p>
      <w:pPr>
        <w:spacing w:after="80"/>
      </w:pPr>
      <w:r>
        <w:rPr>
          <w:b w:val="0"/>
          <w:i w:val="0"/>
          <w:sz w:val="20"/>
        </w:rPr>
        <w:t xml:space="preserve">No período de referência, os projetos ativos operaram com </w:t>
      </w:r>
      <w:r>
        <w:rPr>
          <w:b/>
          <w:i w:val="0"/>
          <w:sz w:val="20"/>
        </w:rPr>
        <w:t>equipes dedicadas por projeto</w:t>
      </w:r>
      <w:r>
        <w:rPr>
          <w:b w:val="0"/>
          <w:i w:val="0"/>
          <w:sz w:val="20"/>
        </w:rPr>
        <w:t>, com acúmulo de papéis registrado em cada adaptação (ADAP-</w:t>
      </w:r>
      <w:r>
        <w:rPr>
          <w:b w:val="0"/>
          <w:i w:val="0"/>
          <w:sz w:val="20"/>
        </w:rPr>
        <w:t>). Não houve acionamento do critério de escalada de PRO-OSW-002 §4.1 (recurso compartilhado acima de 100% de alocação por duas sprints consecutivas); portanto, não foi necessária reunião de repriorização por conflito de recursos no período.</w:t>
      </w:r>
    </w:p>
    <w:p>
      <w:pPr>
        <w:pStyle w:val="Heading3"/>
      </w:pPr>
      <w:r>
        <w:rPr>
          <w:b/>
          <w:color w:val="1F497D"/>
          <w:sz w:val="22"/>
        </w:rPr>
        <w:t>5.2. Autoridade</w:t>
      </w:r>
    </w:p>
    <w:p>
      <w:pPr>
        <w:spacing w:after="80"/>
      </w:pPr>
      <w:r>
        <w:rPr>
          <w:b w:val="0"/>
          <w:i w:val="0"/>
          <w:sz w:val="20"/>
        </w:rPr>
        <w:t xml:space="preserve">A autoridade para priorizar o portfólio e decidir a alocação de recursos compartilhados é do </w:t>
      </w:r>
      <w:r>
        <w:rPr>
          <w:b/>
          <w:i w:val="0"/>
          <w:sz w:val="20"/>
        </w:rPr>
        <w:t>COO (Operações)</w:t>
      </w:r>
      <w:r>
        <w:rPr>
          <w:b w:val="0"/>
          <w:i w:val="0"/>
          <w:sz w:val="20"/>
        </w:rPr>
        <w:t>, responsável pelo escritório de portfólio de projetos (PRO-OSW-002 §4.2). Decisões de natureza estratégica são reportadas ao CEO.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6. Riscos organizacionais de portfólio</w:t>
      </w:r>
    </w:p>
    <w:p>
      <w:pPr>
        <w:spacing w:after="80"/>
      </w:pPr>
      <w:r>
        <w:rPr>
          <w:b w:val="0"/>
          <w:i w:val="0"/>
          <w:sz w:val="20"/>
        </w:rPr>
        <w:t xml:space="preserve">Os riscos de natureza organizacional associados ao portfólio — concorrência de recursos entre projetos e dependência de pessoas-chave — são geridos conforme a </w:t>
      </w:r>
      <w:r>
        <w:rPr>
          <w:b/>
          <w:i w:val="0"/>
          <w:sz w:val="20"/>
        </w:rPr>
        <w:t>Estratégia de Gerência de Riscos e Oportunidades (EST-GPC-002)</w:t>
      </w:r>
      <w:r>
        <w:rPr>
          <w:b w:val="0"/>
          <w:i w:val="0"/>
          <w:sz w:val="20"/>
        </w:rPr>
        <w:t xml:space="preserve"> e acompanhados pela direção e pelo Time de Melhoria Contínua (PRO-OSW-001 §5). Riscos de maior exposição são levados à análise crítica pela direção.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7. Acompanhamento do portfólio e tratamento de desvios (OSW 10)</w:t>
      </w:r>
    </w:p>
    <w:p>
      <w:pPr>
        <w:spacing w:after="80"/>
      </w:pPr>
      <w:r>
        <w:rPr>
          <w:b w:val="0"/>
          <w:i w:val="0"/>
          <w:sz w:val="20"/>
        </w:rPr>
        <w:t>Os projetos do portfólio são acompanhados de forma consolidada quanto ao cumprimento dos compromissos (prazo, escopo, recursos), apoiados pela situação no Jira e pelo quadro de capacity (PRO-OSW-002 §5).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Projeto</w:t>
            </w:r>
          </w:p>
        </w:tc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Compromissos</w:t>
            </w:r>
          </w:p>
        </w:tc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Situação no acompanhamento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Cadastro de Clientes (Rede D1000)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Prazo/escopo do contrato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Concluído com aceite formal; desvios de prazo originados por dependências externas do cliente (ambiente AKS, GMUD) foram registrados e tratados no projeto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SuperApp Fruki (Pacote 1 e Final)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Entregas incrementais por módulo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Concluído; entregas validadas por piloto e aceite final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Fundação Tecnológica GASMIG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Entrega por marco (OS-001 e OS-002)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Concluído; OS-002 encerrada em 09/06/2026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WorkerAndamentos (AASP)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Entrega por fase/onda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Em execução; acompanhamento por horas e fases; encerramento previsto 30/06/2026</w:t>
            </w:r>
          </w:p>
        </w:tc>
      </w:tr>
    </w:tbl>
    <w:p/>
    <w:p>
      <w:pPr>
        <w:spacing w:after="80"/>
      </w:pPr>
      <w:r>
        <w:rPr>
          <w:b w:val="0"/>
          <w:i w:val="0"/>
          <w:sz w:val="20"/>
        </w:rPr>
        <w:t>Desvios identificados no acompanhamento são tratados por realocação de recursos, repriorização ou ações específicas no projeto, conforme PRO-OSW-002 §5.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8. Análise crítica pela direção</w:t>
      </w:r>
    </w:p>
    <w:p>
      <w:pPr>
        <w:spacing w:after="80"/>
      </w:pPr>
      <w:r>
        <w:rPr>
          <w:b w:val="0"/>
          <w:i w:val="0"/>
          <w:sz w:val="20"/>
        </w:rPr>
        <w:t xml:space="preserve">A situação do portfólio é insumo da </w:t>
      </w:r>
      <w:r>
        <w:rPr>
          <w:b/>
          <w:i w:val="0"/>
          <w:sz w:val="20"/>
        </w:rPr>
        <w:t>análise crítica trimestral dos processos</w:t>
      </w:r>
      <w:r>
        <w:rPr>
          <w:b w:val="0"/>
          <w:i w:val="0"/>
          <w:sz w:val="20"/>
        </w:rPr>
        <w:t>, conduzida pelo COO e reportada ao CEO (PRO-OSW-001 §7). As decisões e os encaminhamentos da análise crítica são registrados em ata mantida no Confluence e acompanhados pelo Time de Melhoria Contínua.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9. Rastreabilidade com o modelo MR-MPS-SW:2024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Resultado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Como este documento atende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OSW 8 — oportunidades de negócio/investimentos priorizados (portfólio)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§3 (portfólio consolidado) e §4 (priorização aplicada)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OSW 9 — recursos, orçamento e autoridade do portfólio estabelecidos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§5 (capacity, recursos compartilhados e autoridade)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OSW 10 — projetos do portfólio mantidos e tratados conforme os acordos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§7 (acompanhamento e tratamento de desvios)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Versão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Data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Autor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Descrição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Versão inicial — consolidação (snapshot) do portfólio do ciclo MPS-SW Nível C, materializando a evidência de OSW 8, 9 e 10 mantida no Jira/Confluence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