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32"/>
        </w:rPr>
        <w:t>Registro de Adaptação do Processo — SuperApp Fruki · Pacote 1 — Módulo Metas e RV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Campo</w:t>
            </w:r>
          </w:p>
        </w:tc>
        <w:tc>
          <w:tcPr>
            <w:tcW w:type="dxa" w:w="468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Documento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ADAP-FRUKI01-001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Projeto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13/06/2026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74B5"/>
          <w:sz w:val="26"/>
        </w:rPr>
        <w:t>1. Decisões de adaptação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Eixo de adaptação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Decisão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Justificativa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Com UX/UI — aplicativo mobile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SuperApp Fruki é um aplicativo React Native / Expo; todas as features envolvem desenvolvimento de telas e experiência do usuário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Timeware elabora protótipos; cliente valida regras de negócio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Cecília Ribeiro (Fruki) fornece as regras de negócio e valida os protótipos; Brenda Chrystie (Timeware) é responsável pelo design; APIs e dados são fornecidos pelo time técnico Fruki (Jardel/Renan)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Médio — nível de documentação padrão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 xml:space="preserve">Módulo único (Metas/RV) entregue em </w:t>
            </w:r>
            <w:r>
              <w:rPr>
                <w:b w:val="0"/>
                <w:i w:val="0"/>
                <w:sz w:val="20"/>
              </w:rPr>
              <w:t>3 meses; equipe de 5 pessoas; escopo bem delimitado ao Pacote 1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Oliveira: GP + Product Owner; Brenda Chrystie: UX + analista de negócio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Equipe enxuta; Abraão gerencia o projeto e representa o produto junto ao cliente; Brenda conduz levantamento de regras e produz protótipos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Criticidade e regulação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Aplicativo comercial interno sem regulação específica (não há dados sensíveis de consumidores externos ou requisitos regulatórios)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Cadência de entrega ao cliente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Entrega única do módulo + piloto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Desenvolvimento contínuo com piloto em agosto/2025 e aceite após ajustes; entrega via Pull Request no Azure DevOps e APK para testes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Adotado — Expo APK + branch feature no Azure DevOps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Builds de teste (APK) gerados via Expo antes de cada merge; revisão técnica do Jardel antes do merge na branch principal; link Expo compartilhado com cliente para validação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2. Etapas aplicáveis e não aplicáveis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Etapa / artefato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Aplicável?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Observação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Protótipos criados em Figma por Brenda Chrystie e validados por Cecília Ribeiro antes de cada sprint de desenvolvimento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Levantamento formal das features por módulo, com regras de negócio fornecidas pela Fruki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Plano de V&amp;V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Testes funcionais via APK com cliente e verificação técnica via revisão de PR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Aplicável — simplificada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 xml:space="preserve">Integração com 4 APIs REST da Fruki via endpoints documentados; versionamento de branches no Azure DevOps. Ver </w:t>
            </w:r>
            <w:r>
              <w:rPr>
                <w:b w:val="0"/>
                <w:i w:val="0"/>
                <w:sz w:val="20"/>
              </w:rPr>
              <w:t>ITP-FRUKI01-001_Estrategia-de-Integracao.md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Mapa de rastreabilidade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Requisitos rastreados aos módulos entregues e às PRs no Azure DevOps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Revisão por pares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Revisão técnica das PRs pelo Jardel (Fruki) antes do merge; revisão interna de código pela equipe Timeware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Registro de capacitação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Não há treinamento formal de usuários no escopo deste projeto; a equipe técnica da Fruki acessa o repositório e as APIs diretamente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Gestão de decisões arquiteturais (GDE)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Aplicável — simplificada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 xml:space="preserve">Decisão técnica de tratamento de latência e normalização no front-end registrada em </w:t>
            </w:r>
            <w:r>
              <w:rPr>
                <w:b w:val="0"/>
                <w:i w:val="0"/>
                <w:sz w:val="20"/>
              </w:rPr>
              <w:t>GDE-FRUKI01-001_Registro-de-Decisao.md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Squad próprio Timeware; não há subcontratação de terceiro respondendo por entrega. As APIs e os dados fornecidos pela Fruki são insumos do cliente, fora do escopo de AQU (PRO-AQU-001 §2).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3. Pontos de controle obrigatórios (não adaptáveis)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Requisitos especificados e validados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Plano de Projeto aprovado pelo cliente (baseline)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Definição de Pronto aplicada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Verificação e validação realizadas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Encerramento formal com aceite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74B5"/>
          <w:sz w:val="26"/>
        </w:rPr>
        <w:t>Controle de atualizações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Autor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Descrição da mudança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Versão inicial — registro retroativo (projeto executado jun/2025–set/2025)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ITP e GDE referenciados explicitamente na tabela de etapas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Registrada explicitamente a não aplicabilidade do processo de Aquisição (AQU) neste projeto, conforme PRO-AQU-001 §2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