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1F497D"/>
          <w:sz w:val="32"/>
        </w:rPr>
        <w:t>Registro de Adaptação do Processo — Fundação Tecnológica GASMIG · OS-PARCELA-001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Campo</w:t>
            </w:r>
          </w:p>
        </w:tc>
        <w:tc>
          <w:tcPr>
            <w:tcW w:type="dxa" w:w="4680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Valor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/>
                <w:i w:val="0"/>
                <w:sz w:val="20"/>
              </w:rPr>
              <w:t>Documento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ADAP-GASMIG02-001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/>
                <w:i w:val="0"/>
                <w:sz w:val="20"/>
              </w:rPr>
              <w:t>Projeto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Fundação Tecnológica GASMIG — OS-PARCELA-001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/>
                <w:i w:val="0"/>
                <w:sz w:val="20"/>
              </w:rPr>
              <w:t>Versão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1.4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/>
                <w:i w:val="0"/>
                <w:sz w:val="20"/>
              </w:rPr>
              <w:t>Data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13/06/2026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/>
                <w:i w:val="0"/>
                <w:sz w:val="20"/>
              </w:rPr>
              <w:t>Responsável pela adaptação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Abraão Oliveira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/>
                <w:i w:val="0"/>
                <w:sz w:val="20"/>
              </w:rPr>
              <w:t>Processo-padrão de referência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PRO-GPC-001 v2.2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/>
                <w:i w:val="0"/>
                <w:sz w:val="20"/>
              </w:rPr>
              <w:t>Guia de adaptação de referência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GUIA-GPC-001 v1.2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  <w:color w:val="2E74B5"/>
          <w:sz w:val="26"/>
        </w:rPr>
        <w:t>1. Decisões de adaptação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Eixo de adaptação</w:t>
            </w:r>
          </w:p>
        </w:tc>
        <w:tc>
          <w:tcPr>
            <w:tcW w:type="dxa" w:w="3120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Decisão</w:t>
            </w:r>
          </w:p>
        </w:tc>
        <w:tc>
          <w:tcPr>
            <w:tcW w:type="dxa" w:w="3120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Justificativa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Tipo de produto (com/sem front-end)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Sem UX/UI — projeto de infraestrutura e configuração cloud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O escopo é 100% configuração do Azure API Management; nenhuma interface de usuário é desenvolvida pela Timeware. O portal do desenvolvedor é um componente nativo do APIM, configurado mas não desenvolvido.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Origem dos requisitos e do design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Cliente fornece contexto de negócio; Timeware elabora especificação técnica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A GASMIG definiu as necessidades de negócio; a Timeware conduziu o discovery técnico e especificou os requisitos de configuração.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Porte do projeto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Médio — formalidade padrão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Equipe de 3 pessoas, prazo de 15 dias, escopo bem delimitado.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Equipe e papéis (acúmulo)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Cézar Hiraki acumula Tech Lead, Arquiteto e GCO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Equipe enxuta; viável dado o porte e a natureza da entrega.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Criticidade e regulação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Padrão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Fundação corporativa de integração, sem processamento de dados regulados nesta OS.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Cadência de entrega ao cliente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Por marco — aceite único ao final da OS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Não há sprints com entregas parciais. A entrega é a OS completa, validada em sessão de apresentação ao time técnico GASMIG.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Ambiente de stage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Sandbox é parte do escopo da entrega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O ambiente de sandbox não é pré-requisito externo; sua configuração é um dos itens de entrega desta OS.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Verificação e Validação (VV)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Checklist de verificação de configuração + smoke checks HTTP + verificação técnica por Cézar Hiraki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Projeto de configuração de ferramenta: não há código desenvolvido. Testes de software (unitários, integração, BDD/Gherkin) não se aplicam. A verificação é realizada por checklist estruturado e navegação no portal Azure. Ver VV-GASMIG02-001.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GQA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COO (Operações)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Designado antes da primeira auditoria de processo, garantindo independência em relação à equipe de projeto.</w:t>
            </w:r>
          </w:p>
        </w:tc>
      </w:tr>
    </w:tbl>
    <w:p/>
    <w:p>
      <w:pPr>
        <w:pStyle w:val="Heading2"/>
      </w:pPr>
      <w:r>
        <w:rPr>
          <w:b/>
          <w:color w:val="2E74B5"/>
          <w:sz w:val="26"/>
        </w:rPr>
        <w:t>2. Etapas aplicáveis e não aplicáveis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Etapa / artefato</w:t>
            </w:r>
          </w:p>
        </w:tc>
        <w:tc>
          <w:tcPr>
            <w:tcW w:type="dxa" w:w="3120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Aplicável?</w:t>
            </w:r>
          </w:p>
        </w:tc>
        <w:tc>
          <w:tcPr>
            <w:tcW w:type="dxa" w:w="3120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Observação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Design de UX/UI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/>
                <w:i w:val="0"/>
                <w:sz w:val="20"/>
              </w:rPr>
              <w:t>Não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Projeto sem desenvolvimento de interface de usuário.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Documento de Design (arquitetura)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/>
                <w:i w:val="0"/>
                <w:sz w:val="20"/>
              </w:rPr>
              <w:t>Sim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Registra a topologia do Azure API Management, estrutura de workspaces, políticas e decisões de design.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Documento de Requisitos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/>
                <w:i w:val="0"/>
                <w:sz w:val="20"/>
              </w:rPr>
              <w:t>Sim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Requisitos de configuração documentados em REQ-GASMIG02-001.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Matriz de rastreabilidade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/>
                <w:i w:val="0"/>
                <w:sz w:val="20"/>
              </w:rPr>
              <w:t>Sim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Rastreabilidade entre requisitos, itens de design e checklist de verificação.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Plano de Projeto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/>
                <w:i w:val="0"/>
                <w:sz w:val="20"/>
              </w:rPr>
              <w:t>Sim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Com adaptação: cronograma por atividades, não por sprints.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Estratégia de Integração (ITP)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/>
                <w:i w:val="0"/>
                <w:sz w:val="20"/>
              </w:rPr>
              <w:t>Não aplicável nesta OS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Não há integração entre componentes de software desenvolvidos. Aplicável na OS-PARCELA-002 e projetos de API subsequentes.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Testes de software (unitários, integração, BDD/Gherkin)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/>
                <w:i w:val="0"/>
                <w:sz w:val="20"/>
              </w:rPr>
              <w:t>Não aplicável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Não há desenvolvimento de código. Não existe comportamento de software a ser especificado em BDD nem lógica a ser testada em testes unitários ou de integração.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Verificação de configuração (checklist)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/>
                <w:i w:val="0"/>
                <w:sz w:val="20"/>
              </w:rPr>
              <w:t>Sim — substitui testes de software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Cada requisito de configuração é verificado por checklist estruturado no portal Azure. Ver VV-GASMIG02-001.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Revisão técnica da configuração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/>
                <w:i w:val="0"/>
                <w:sz w:val="20"/>
              </w:rPr>
              <w:t>Sim — substitui revisão de código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Cézar Hiraki verifica a configuração realizada pelos engenheiros no portal Azure antes da sessão de aceite (equivalente funcional da revisão por pares para projetos de configuração).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Smoke checks HTTP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/>
                <w:i w:val="0"/>
                <w:sz w:val="20"/>
              </w:rPr>
              <w:t>Sim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Chamadas HTTP via Postman/curl para confirmar que as políticas configuradas produzem o comportamento esperado (acesso permitido ou bloqueado).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Change Request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/>
                <w:i w:val="0"/>
                <w:sz w:val="20"/>
              </w:rPr>
              <w:t>Sim, se acionado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Qualquer alteração de escopo após baseline segue o fluxo de change request (TPL-GPR-006).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Termo de Encerramento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/>
                <w:i w:val="0"/>
                <w:sz w:val="20"/>
              </w:rPr>
              <w:t>Sim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Encerramento formal após aceite da sessão de apresentação.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Aquisição (AQU)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/>
                <w:i w:val="0"/>
                <w:sz w:val="20"/>
              </w:rPr>
              <w:t>Não aplicável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Não há subcontratação de terceiro responsável por entrega. Os serviços Azure (APIM, sandbox) são software de prateleira/infraestrutura, expressamente fora do escopo de AQU (PRO-AQU-001 §2).</w:t>
            </w:r>
          </w:p>
        </w:tc>
      </w:tr>
    </w:tbl>
    <w:p/>
    <w:p>
      <w:pPr>
        <w:pStyle w:val="Heading2"/>
      </w:pPr>
      <w:r>
        <w:rPr>
          <w:b/>
          <w:color w:val="2E74B5"/>
          <w:sz w:val="26"/>
        </w:rPr>
        <w:t>3. Pontos de controle obrigatórios (não adaptáveis)</w:t>
      </w:r>
    </w:p>
    <w:p>
      <w:pPr>
        <w:spacing w:after="80"/>
      </w:pPr>
      <w:r>
        <w:rPr>
          <w:b w:val="0"/>
          <w:i w:val="0"/>
          <w:sz w:val="20"/>
        </w:rPr>
        <w:t>Conforme GUIA-GPC-001 v1.2, os seis pontos a seguir são obrigatórios e não passíveis de supressão em nenhum projeto.</w:t>
      </w:r>
    </w:p>
    <w:p>
      <w:pPr>
        <w:pStyle w:val="ListBullet"/>
        <w:spacing w:before="0" w:after="0"/>
      </w:pPr>
      <w:r>
        <w:rPr>
          <w:b w:val="0"/>
          <w:i w:val="0"/>
          <w:sz w:val="20"/>
        </w:rPr>
        <w:t>[x] Abertura — Termo de Abertura elaborado e aprovado antes do início das atividades (TAP-GASMIG02-001)</w:t>
      </w:r>
    </w:p>
    <w:p>
      <w:pPr>
        <w:pStyle w:val="ListBullet"/>
        <w:spacing w:before="0" w:after="0"/>
      </w:pPr>
      <w:r>
        <w:rPr>
          <w:b w:val="0"/>
          <w:i w:val="0"/>
          <w:sz w:val="20"/>
        </w:rPr>
        <w:t>[x] Requisitos — Requisitos especificados, rastreáveis e validados antes da configuração (REQ-GASMIG02-001)</w:t>
      </w:r>
    </w:p>
    <w:p>
      <w:pPr>
        <w:pStyle w:val="ListBullet"/>
        <w:spacing w:before="0" w:after="0"/>
      </w:pPr>
      <w:r>
        <w:rPr>
          <w:b w:val="0"/>
          <w:i w:val="0"/>
          <w:sz w:val="20"/>
        </w:rPr>
        <w:t>[x] Design — Documento de Design técnico elaborado e aprovado antes do deploy (PCP-GASMIG02-001)</w:t>
      </w:r>
    </w:p>
    <w:p>
      <w:pPr>
        <w:pStyle w:val="ListBullet"/>
        <w:spacing w:before="0" w:after="0"/>
      </w:pPr>
      <w:r>
        <w:rPr>
          <w:b w:val="0"/>
          <w:i w:val="0"/>
          <w:sz w:val="20"/>
        </w:rPr>
        <w:t>[x] Verificação — Checklist de verificação de configuração executado e resultados registrados (VV-GASMIG02-001)</w:t>
      </w:r>
    </w:p>
    <w:p>
      <w:pPr>
        <w:pStyle w:val="ListBullet"/>
        <w:spacing w:before="0" w:after="0"/>
      </w:pPr>
      <w:r>
        <w:rPr>
          <w:b w:val="0"/>
          <w:i w:val="0"/>
          <w:sz w:val="20"/>
        </w:rPr>
        <w:t>[x] Homologação — Sessão de aceite com o cliente realizada e registrada (ATA-GASMIG02-002)</w:t>
      </w:r>
    </w:p>
    <w:p>
      <w:pPr>
        <w:pStyle w:val="ListBullet"/>
        <w:spacing w:before="0" w:after="0"/>
      </w:pPr>
      <w:r>
        <w:rPr>
          <w:b w:val="0"/>
          <w:i w:val="0"/>
          <w:sz w:val="20"/>
        </w:rPr>
        <w:t>[x] Encerramento — Termo de Encerramento emitido com aceite formal (TAE-GASMIG02-001)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  <w:color w:val="2E74B5"/>
          <w:sz w:val="26"/>
        </w:rPr>
        <w:t>Controle de atualizações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Versão</w:t>
            </w:r>
          </w:p>
        </w:tc>
        <w:tc>
          <w:tcPr>
            <w:tcW w:type="dxa" w:w="2340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Data</w:t>
            </w:r>
          </w:p>
        </w:tc>
        <w:tc>
          <w:tcPr>
            <w:tcW w:type="dxa" w:w="2340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Autor</w:t>
            </w:r>
          </w:p>
        </w:tc>
        <w:tc>
          <w:tcPr>
            <w:tcW w:type="dxa" w:w="2340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Descrição da mudança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1.0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29/04/2026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Versão inicial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1.1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04/06/2026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Adicionada adaptação explícita de VV: testes de software não aplicáveis; verificação por checklist de configuração e smoke checks HTTP; revisão técnica substitui revisão de código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1.2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Definição do papel de GQA como COO (Operações), garantindo independência em relação à equipe de projeto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1.3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Adicionada referência ao processo-padrão base (PRO-GPC-001 v2.2) e ao guia de adaptação (GUIA-GPC-001 v1.2); pontos de controle obrigatórios expandidos para os 6 definidos no GUIA-GPC-001 v1.2 com artefatos produzidos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1.4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13/06/2026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Registrada explicitamente a não aplicabilidade do processo de Aquisição (AQU) neste projeto, conforme PRO-AQU-001 §2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