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1F497D"/>
          <w:sz w:val="32"/>
        </w:rPr>
        <w:t>Registro de Adaptação do Processo — Rede D1000 · Cadastro de Clientes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Campo</w:t>
            </w:r>
          </w:p>
        </w:tc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Valor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Documento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ADAP-PROFARMA01-001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Projeto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Cadastro de Clientes — Rede D1000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Cliente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Profarma S.A. / Rede D1000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Versão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1.1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Data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13/06/2026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Abraão Oliveira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GPR (evidência de projeto — adaptação do processo padrão)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1. Objetivo</w:t>
      </w:r>
    </w:p>
    <w:p>
      <w:pPr>
        <w:spacing w:after="80"/>
      </w:pPr>
      <w:r>
        <w:rPr>
          <w:b w:val="0"/>
          <w:i w:val="0"/>
          <w:sz w:val="20"/>
        </w:rPr>
        <w:t>Registrar as adaptações aplicadas ao processo-padrão de desenvolvimento Timeware para a execução do projeto Cadastro de Clientes — Rede D1000, justificando cada decisão e seus impactos no planejamento.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2. Adaptações aplicadas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#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Item do processo-padrão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Decisão de adaptação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Justificativa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Definição completa de requisitos antes do início do desenvolvimento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Requisitos levantados de forma iterativa durante os sprints 1–4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 cliente (D1000) não tinha documentação formal do comportamento legado do ITEC; o entendimento dos requisitos só foi possível com a análise do código legado em paralelo com o desenvolvimento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Sprint Planning formal documentada desde o Sprint 1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Sprints 1–3 operaram com planejamento informal via reuniões diárias; rastreabilidade introduzida formalmente a partir do Sprint 4 (Jira)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 equipe do cliente não utilizava gerenciamento formal de backlog no início; o Jira foi adotado gradualmente após validação interna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Design de integração completo antes da implementação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Design das integrações foi evoluído incrementalmente, sprint a sprint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Dependência de informações técnicas dos sistemas satélites (BlueSoft, CloseUp, PBM) que chegaram apenas ao longo do projeto; contratos de API definidos em conjunto com os proprietários dos sistemas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Ambiente de homologação independente desde o início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 ambiente de homologação foi provisionado apenas a partir de julho/2025 (após liberação do AKS pela equipe de infra D1000)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Restrição do cliente: acesso ao AKS e ao Azure DevOps foi liberado com atraso; o time Timeware trabalhou em ambiente local (Docker Compose) durante os sprints iniciais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Testes de sistema executados pela própria equipe de desenvolvimento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 execução dos testes de homologação foi responsabilidade conjunta: Timeware (Lucas Batista / QA) + equipe D1000 (Julielle Santos / QA)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O cliente exigiu co-participação nos testes para validar os critérios de aceite; os roteiros de teste foram revisados em conjunto e aprovados pela D1000 antes da execução formal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Nível de documentação de design técnico (PCP) simplificado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Documentação técnica mantida no nível de diagramas de fluxo e decisões arquiteturais; especificações de baixo nível mantidas nos PRs do Azure DevOps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Equipe enxuta; overhead de documentação baixo-nível comprometia a cadência de entrega; os PRs do Azure DevOps servem como documentação viva das decisões técnicas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Revisão técnica (peer review) com dois revisores independentes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Revisões de código realizadas com um revisor (Tech Lead Tiago Nascimento ou Erick Coelho por alternância)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Equipe de 4 Dev Backend; manter dois revisores independentes aumentaria o lead time dos PRs sem ganho proporcional de qualidade; o tech lead D1000 (Armando Junior) participava de revisões de mudanças arquiteturais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Tech Lead (Tiago Nascimento) acumulou papel de Arquiteto da Solução nas primeiras 4 sprints; Gerente de Projeto (Abraão Oliveira) acumulou papel de Account Manager e GCO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Equipe contratada: 3 Dev Pleno + Tech Lead; escopo de papéis ajustado para viabilidade operacional do contrato mensalizado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A-09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Deploys em produção via pipeline automatizado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Deploys em produção requereram aprovação via GMUD (Change Management da D1000) antes de cada execução de pipeline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Restrição do cliente: o processo GMUD da D1000 é obrigatório para qualquer mudança em ambiente produtivo; a Timeware adaptou o fluxo de release para incluir a abertura e aprovação de GMUD como gate pré-deploy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A-10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Piloto em um único ambiente antes do rollout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Piloto restrito à loja 9, cobrindo três canais (PDV, Balcão, OMNI) antes do rollout geral para a rede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Decisão estratégica do cliente: minimizar risco de impacto operacional nas demais lojas; loja 9 escolhida por volume controlado e acesso facilitado da equipe de TI D1000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3. Itens sem adaptação (processo-padrão mantido)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Controle de versão de código no Azure DevOps (Git)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Revisão de PR obrigatória antes do merge no branch principal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Execução de testes unitários como gate no pipeline CI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Registro de riscos com probabilidade, impacto e plano de resposta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Comunicação semanal de status ao cliente (relatório + reunião)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Rastreabilidade de requisitos para casos de teste (a partir do Sprint 4)</w:t>
      </w:r>
    </w:p>
    <w:p>
      <w:pPr>
        <w:pStyle w:val="ListBullet"/>
        <w:spacing w:before="0" w:after="0"/>
      </w:pPr>
      <w:r>
        <w:rPr>
          <w:b w:val="0"/>
          <w:i w:val="0"/>
          <w:sz w:val="20"/>
        </w:rPr>
        <w:t>Formalização de mudanças de escopo via change request antes da implementação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4. Impacto das adaptações no projeto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Adaptação</w:t>
            </w:r>
          </w:p>
        </w:tc>
        <w:tc>
          <w:tcPr>
            <w:tcW w:type="dxa" w:w="468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Impacto observado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A-01 (requisitos iterativos)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Gerou retrabalho nos sprints 5–7 quando requisitos inicialmente não documentados foram identificados; aceito pela equipe como custo de descoberta incremental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A-04 (ambiente tardio)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 xml:space="preserve">Atrasou o início dos testes de integração em </w:t>
            </w:r>
            <w:r>
              <w:rPr>
                <w:b w:val="0"/>
                <w:i w:val="0"/>
                <w:sz w:val="20"/>
              </w:rPr>
              <w:t>6 semanas; mitigado com ambiente Docker local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A-09 (GMUD obrigatório)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Adicionou 2–5 dias úteis ao ciclo de release em produção; gerenciado com planejamento antecipado das janelas de mudança</w:t>
            </w:r>
          </w:p>
        </w:tc>
      </w:tr>
      <w:tr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A-10 (piloto loja 9)</w:t>
            </w:r>
          </w:p>
        </w:tc>
        <w:tc>
          <w:tcPr>
            <w:tcW w:type="dxa" w:w="468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Permitiu validação em condições reais sem risco para a rede; todos os ajustes necessários foram identificados e corrigidos antes do rollout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5. Processos não aplicáveis ao projeto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Processo</w:t>
            </w:r>
          </w:p>
        </w:tc>
        <w:tc>
          <w:tcPr>
            <w:tcW w:type="dxa" w:w="312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Aplicável?</w:t>
            </w:r>
          </w:p>
        </w:tc>
        <w:tc>
          <w:tcPr>
            <w:tcW w:type="dxa" w:w="312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Justificativa</w:t>
            </w:r>
          </w:p>
        </w:tc>
      </w:tr>
      <w:tr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/>
                <w:i w:val="0"/>
                <w:sz w:val="20"/>
              </w:rPr>
              <w:t>Não aplicável</w:t>
            </w:r>
          </w:p>
        </w:tc>
        <w:tc>
          <w:tcPr>
            <w:tcW w:type="dxa" w:w="312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Squad próprio Timeware; não há subcontratação de terceiro responsável por entrega. Os sistemas satélites (BlueSoft, CloseUp, PBM) e o ambiente AKS são integrações/insumos do cliente, tratados em ITP e Riscos, fora do escopo de AQU (PRO-AQU-001 §2).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/>
          <w:color w:val="2E74B5"/>
          <w:sz w:val="26"/>
        </w:rP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Versão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Data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Autor</w:t>
            </w:r>
          </w:p>
        </w:tc>
        <w:tc>
          <w:tcPr>
            <w:tcW w:type="dxa" w:w="2340"/>
            <w:shd w:val="clear" w:color="auto" w:fill="D6E4F7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b/>
                <w:i w:val="0"/>
                <w:sz w:val="20"/>
              </w:rPr>
              <w:t>Descrição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Versão inicial — reconstituída com base nas reuniões de planejamento e dailys do período 04/2025–01/2026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1.1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/>
            <w:r>
              <w:rPr>
                <w:b w:val="0"/>
                <w:i w:val="0"/>
                <w:sz w:val="20"/>
              </w:rPr>
              <w:t>Adicionada a seção 5 (Processos não aplicáveis), registrando explicitamente a não aplicabilidade do processo de Aquisição (AQU), conforme PRO-AQU-001 §2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