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banco (DDL) e contratos do webhook multi-fonte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contenção em homologação (pré-go-live): nullabilidade em CapturaLogin sob carga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v220, v230, v240 e v241 referenciadas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(v220/v230/v240/v241)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(v220/v230/v240/v241)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