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ADAPTACAO AO PROCESSO-PADRAO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adaptacoes realizadas ao processo-padrao Timeware para a execucao do projeto AASP01 — Grupos de Usuarios (ms.auxo.gruposusuarios). As adaptacoes descritas neste documento foram avaliadas e aprovadas pelo Gerente de Projeto antes do inicio das atividades de desenvolvimento, conforme exigido pelo processo de Adaptacao (ADAP) do modelo MPS-SW nivel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adaptacao foi motivada por restricoes reais de contexto — equipe enxuta, legado nao documentado, restricoes do cliente — e nao implica reducao de qualidade nos produtos entregues. Os mecanismos de mitigacao associados a cada adaptacao garantem que os objetivos do processo-padrao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Adaptacoes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 de adaptacao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Definicao completa de requisitos antes do inicio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nao documentado; requisitos precisaram ser descobertos explorando o banco e o codigo existente do Gerenciador. Impossivel elicitar todos os requisitos upfront sem acesso ao ambiente de producao.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agil via Microsoft Teams e notas informais; formalizacao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Kiyoshi, Henry Komatsu e Mateus Veloso); overhead documental de um planning formal nas primeiras sprints comprometia a cadencia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integracao completo antes da implementacao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Integracao (ITP-AASP01-001) definido iterativamente; detalhes do contrato de API acordados no inicio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microsservico ms.temis.vinculos (banco temis3) foi disponibilizado pelo time do cliente somente no inicio da Sprint 2 (09/06/2026); especificacao previa seria baseada em suposicoes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independente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Restricao imposta pelo cliente AASP; o time da AASP precisava preparar o ambiente de homologacao em paralelo ao desenvolvimento. O time Timeware trabalhou com instancia local para nao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Caroline Sousa (QA Timeware) + Leonardo Francisco Pereira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participacao direta nos testes de aceite como condicao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Construcao e Producao (PCP) com especificacoes de baixo nivel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nivel de decisoes arquiteturais e padroes de implementacao; detalhes de baixo nivel registrados nos Pull Requests #11 a #15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especificacoes de baixo nivel no PCP e nos PRs geraria retrabalho documental sem agregar valor. Os PRs do Azure DevOps servem como documentacao viva, rastreavel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Pull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unico (Cezar Hiraki como Tech Lead) nos PRs de codigo critico; revisao cruzada entre os desenvolvedores (Renan, Henry e Mateus Veloso) nos PRs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Cezar Hiraki revisa todos os PRs dos desenvolvedores. Gate de CI/CD obrigatorio compensa parcialmente a reducao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acumula os papeis de Arquiteto, Tech Lead, DevOps, Revisor e GCO; a Gerencia de Projeto e exercida por 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Cezar Hiraki viabiliza a operacao dentro do orçamento contratado. As responsabilidades de cada papel sao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adaptacao (processo-padrao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processo-padrao Timeware sem qualquer adaptacao: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versao com Git</w:t>
      </w:r>
      <w:r>
        <w:rPr>
          <w:rFonts w:ascii="Calibri" w:hAnsi="Calibri"/>
          <w:b w:val="0"/>
          <w:i w:val="0"/>
          <w:sz w:val="22"/>
        </w:rPr>
        <w:t>: todo codigo versionado no Azure DevOps;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Pull Request obrigatorio para merge</w:t>
      </w:r>
      <w:r>
        <w:rPr>
          <w:rFonts w:ascii="Calibri" w:hAnsi="Calibri"/>
          <w:b w:val="0"/>
          <w:i w:val="0"/>
          <w:sz w:val="22"/>
        </w:rPr>
        <w:t>: nenhum codigo integrado a develop ou main sem PR aprovado, independentemente do tamanho da mudanca.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unitarios como gate de CI</w:t>
      </w:r>
      <w:r>
        <w:rPr>
          <w:rFonts w:ascii="Calibri" w:hAnsi="Calibri"/>
          <w:b w:val="0"/>
          <w:i w:val="0"/>
          <w:sz w:val="22"/>
        </w:rPr>
        <w:t>: pipeline Azure DevOps bloqueia merge se testes unitarios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acoes de mitigacao.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Comunicacao semanal com o cliente</w:t>
      </w:r>
      <w:r>
        <w:rPr>
          <w:rFonts w:ascii="Calibri" w:hAnsi="Calibri"/>
          <w:b w:val="0"/>
          <w:i w:val="0"/>
          <w:sz w:val="22"/>
        </w:rPr>
        <w:t>: reunioes de acompanhamento com Marcos Turnes (PO AASP) realizadas semanalmente durante toda a execucao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PRs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Formalizacao de Change Requests</w:t>
      </w:r>
      <w:r>
        <w:rPr>
          <w:rFonts w:ascii="Calibri" w:hAnsi="Calibri"/>
          <w:b w:val="0"/>
          <w:i w:val="0"/>
          <w:sz w:val="22"/>
        </w:rPr>
        <w:t>: qualquer mudanca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configuracao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adaptacoes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Mitigacao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Reunioes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revisou estimativas ao final de cada sprint e ajustou o PLA-AASP01-001; formalizacao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Implementacao da integracao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integracao projetadas com baixo acoplamento; adaptacao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nao detectados na Sprint 1 por ausencia de homologacao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com cobertura estimada de 85% (22/26 metodos); bugs de ambiente identificados e corrigidos no inicio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esforco de coordenacao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antecedencia; sessoes de teste agendadas com Leonardo Francisco Pereira;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como unica fonte de especificacao de baixo nivel aumenta dependencia do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obrigatorio (build + testes + analise estatica SonarQube); checklist de code review padrao Timeware aplicado em todos os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Cezar Hiraki aumenta risco de sobrecarga e ponto unico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Kiyoshi preparado para assumir atividades de GCO em caso de indisponibilidade de Cezar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