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REQ-AASP01-001 — DOCUMENTO DE REQUISITOS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descreve os requisitos funcionais, não funcionais e regras de negócio do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>, desenvolvido para o sistema Gerenciador da AASP como parte da Feature AG — Grupos de Usuários.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Entidade que agrupa usuários do sistema sob um conjunto comum de permissões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Direito de acesso atribuído a um grupo, seguindo o modelo RBAC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Associação entre um usuário e um grupo, registrada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RBAC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Role-Based Access Control — controle de acesso baseado em papéis/permissões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 lógica: registro marcado como inativo, sem remoção física do banco de dados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auxo3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SQL Server principal do sistema Gerenciador da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temis3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Banco de dados SQL Server de integração, acessado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Backlog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nome, descrição e status ativo; validar unicidade do 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Listagem e consulta de grupos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(lista paginada)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(detalhes)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PUT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>; campos editáveis: nome, descrição, 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Exclusão lógica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(soft delete); bloqueada se houver usuários vinculados ativos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Atribuição e substituição de permissões RBAC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PUT /grupos/{id}/permissoes</w:t>
            </w:r>
            <w:r>
              <w:rPr>
                <w:rFonts w:ascii="Calibri" w:hAnsi="Calibri"/>
                <w:b w:val="0"/>
                <w:i w:val="0"/>
                <w:sz w:val="20"/>
              </w:rPr>
              <w:t>; valores validados por enum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Vinculação de usuário a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/grupos/{id}/usuarios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remoção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/grupos/{id}/usuarios/{uid}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Registro automático de auditoria em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todas as operações de escrita (imutável)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chamada HTTP para sincronização de vínculos na base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temis3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Geração de relatório consolidado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/grupos/relatorio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exportação em formato CSV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em condições normais de carga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via JWT; comunicação exclusivamente por HTTPS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Todas as operações de escrita devem ser rastreáveis via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obrigatória: .NET Framework 4.7.2 e Dapper; SQL Server como SGBD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mínima de 70% de testes unitários por módulo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Regras de Negócio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Regra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nome do grupo deve ser único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>; tentativa de criação/atualização com nome duplicado retorna HTTP 409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operação de soft delete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>) é bloqueada se existirem usuários vinculados e ativos ao grupo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 permissões atribuídas a um grupo devem pertencer ao enum de permissões válido definido na camada de domínio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Os registros da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são imutáveis — não podem ser alterados ou excluídos por nenhuma operação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sincronização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deve ser acionada automaticamente após qualquer alteração de vínculo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201 com o recurso criado; retorna HTTP 409 em caso de nome duplicado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lista paginada;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ou HTTP 404 se não encontrado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PUT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dados atualizados; HTTP 404 se grupo inexistente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204 após soft delete; HTTP 409 se houver usuários vinculados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PUT /grupos/{id}/permissoes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substitui permissões e retorna HTTP 200; HTTP 400 para valores de enum inválidos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/grupos/{id}/usuarios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201;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/grupos/{id}/usuarios/{uid}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Toda operação de escrita gera registro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usuário, timestamp e operação realizada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Após criação/remoção de vínculo,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é chamado com sucesso; falha gera log e não interrompe a operação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/grupos/relatorio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JSON consolidado;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?formato=csv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arquivo CSV com cabeçalho correto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inicial dos requisitos (kickoff)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Refinamento dos requisitos para Sprint 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