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ADAP-PROFARMA01-001   ·   Versão 1.1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adaptação do processo padrão)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adaptações aplicadas ao processo-padrão de desenvolvimento Timeware para a execução do projeto Cadastro de Clientes — Rede D1000, justificando cada decisão e seus impactos no planejamento.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início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levantados de forma iterativa durante os sprints 1–4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(D1000) não tinha documentação formal do comportamento legado do ITEC; o entendimento dos requisitos só foi possível com a análise do código legado em paralelo com o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operaram com planejamento informal via reuniões diárias; rastreabilidade introduzida formalmente a partir do Sprint 4 (Jira)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equipe do cliente não utilizava gerenciamento formal de backlog no início; o Jira foi adotado gradualmente após validação interna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das integrações foi evoluído incrementalmente, sprint 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informações técnicas dos sistemas satélites (BlueSoft, CloseUp, PBM) que chegaram apenas ao longo do projeto; contratos de API definidos em conjunto com os proprietários dos sistemas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início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ambiente de homologação foi provisionado apenas a partir de julho/2025 (após liberação do AKS pela equipe de infra 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acesso ao AKS e ao Azure DevOps foi liberado com atraso; o time Timeware trabalhou em ambiente local (Docker Compose) durante os sprints iniciais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executados pela própria equipe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execução dos testes de homologação foi responsabilidade conjunta: Timeware (Caroline Sousa / QA) + equipe D1000 (Julielle Santos /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exigiu co-participação nos testes para validar os critérios de aceite; os roteiros de teste foram revisados em conjunto e aprovados pela D1000 antes da execução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 de design técnico (PCP) simplificado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mantida no nível de diagramas de fluxo e decisões arquiteturais; especificações de baixo nível mantidas nos PRs do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overhead de documentação baixo-nível comprometia a cadência de entrega; os PRs do Azure DevOps servem como documentação viva das decisões técnicas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(peer review) com dois revisores independentes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Revisões de código realizadas com um revisor (Tech Lead Cézar Hiraki Velázquez)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Dev Backend; manter dois revisores independentes aumentaria o lead time dos PRs sem ganho proporcional de qualidade; o tech lead D1000 (Armando Junior) participava de revisões de mudanças arquiteturais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(Cézar Hiraki Velázquez) acumulou papel de Arquiteto da Solução nas primeiras 4 sprints; Gerente de Projeto (Abraão Oliveira) acumulou papel de Account Manager e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contratada: 3 Dev Pleno + Tech Lead; escopo de papéis ajustado para viabilidade operacional do contrato mensalizado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via pipeline automatizado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requereram aprovação via GMUD (Change Management da D1000) antes de cada execução de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o processo GMUD da D1000 é obrigatório para qualquer mudança em ambiente produtivo; a Timeware adaptou o fluxo de release para incluir a abertura e aprovação de GMUD como gate pré-deploy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em um único ambiente antes do rollout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restrito à loja 9, cobrindo três canais (PDV, Balcão, OMNI) antes do rollout geral para a rede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estratégica do cliente: minimizar risco de impacto operacional nas demais lojas; loja 9 escolhida por volume controlado e acesso facilitado da equipe de TI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Controle de versão de código no Azure DevOps (Git)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de PR obrigatória antes do merge no branch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Execução de testes unitários como gate no pipeline CI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 de riscos com probabilidade, impacto e plano de resposta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semanal de status ao cliente (relatório + reunião)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Rastreabilidade de requisitos para casos de teste (a partir do Sprint 4)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Formalização de mudanças de escopo via change request antes da implementação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 (requisitos iterativos)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Gerou retrabalho nos sprints 5–7 quando requisitos inicialmente não documentados foram identificados; aceito pela equipe como custo de descoberta incremental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 (ambiente tardio)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Atrasou o início dos testes de integração em ~6 semanas; mitigado com ambiente Docker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 (GMUD obrigatório)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Adicionou 2–5 dias úteis ao ciclo de release em produção; gerenciado com planejamento antecipado das janelas de mudança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 (piloto loja 9)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Permitiu validação em condições reais sem risco para a rede; todos os ajustes necessários foram identificados e corrigidos antes do rollout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Processos não aplicáveis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próprio Timeware; não há subcontratação de terceiro responsável por entrega. Os sistemas satélites (BlueSoft, CloseUp, PBM) e o ambiente AKS são integrações/insumos do cliente, tratados em ITP e Riscos, fora do escopo de AQU (PRO-AQU-001 §2).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nas reuniões de planejamento e dailys do período 04/2025–01/2026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a seção 5 (Processos não aplicáveis), registrando explicitamente a não aplicabilidade do processo de Aquisição (AQU), conforme PRO-AQU-001 §2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