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RELATÓRIO DE EXECUÇÃO DE TESTES — AASP_CNJ · WORKERANDAMENTOS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REL-VV-AASPCNJ01-001   ·   Versão 1.0   ·   11/06/2026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REL-VV-AASPCNJ01-001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AASP_CNJ — WorkerAndamentos: Agente de Captura de Andamentos Processuais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Referência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VV-AASPCNJ01-001 (Plano de V&amp;V)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Registrar a execução dos testes do projeto e os defeitos identificados e tratados, em complemento ao Plano de V&amp;V (VV-AASPCNJ01-001).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Testes executados por fase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Fase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 de teste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Análise de desempenho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Estudo do comportamento do captcha Cloudflare nos portais do TJSP e estratégias de contorno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 de desempenho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Throughput e estabilidade do fluxo EPROC com múltiplos workers simultâneos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 de integração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Endpoint de publicação no RabbitMQ e webhook de indexação no Elasticsearch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3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Regressão / bug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Reteste das falhas: timeout após captcha, nullabilidade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ProcessoCapturaLogin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DataUltimaAtualizacao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4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 de integração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Fluxo completo de captura CNJ (consulta, autenticação, JSON, webhook)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4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 de integração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Desligamento de NUP nas APIs parceiras após captura via CNJ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 de fluxo (E2E)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Captura CNJ: sucesso, fallback e erro parcial por instância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 de persistência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Persistência das movimentações e atualização da coluna de exclusão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 de integração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Indexação e exclusão de processos nas APIs parceiras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Defeitos registrados e tratados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Fase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Resolução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BUG-01 a BUG-04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Defeitos da estabilização EPROC/ESAJ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Correções de timeout/captcha, nullabilidade e DataUltimaAtualizacao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BUG-05 a BUG-07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Defeitos do desenvolvimento CNJ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Correção da fila RabbitMQ (137 mil itens), publicação de mensagens e campos hardcoded do TJSP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BUG-08, BUG-09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Defeitos de E2E/regressão e parceiras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Correção de referências pós-merge e do fluxo de indexação/exclusão nas APIs parceiras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Resumo: 10 defeitos (9 dev + 1 contenção v241) identificados e 100% resolvidos antes da validação final do fluxo.</w:t>
      </w: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</w:r>
      <w:r>
        <w:rPr>
          <w:rFonts w:ascii="Calibri" w:hAnsi="Calibri"/>
          <w:b w:val="0"/>
          <w:i w:val="0"/>
          <w:sz w:val="22"/>
        </w:rPr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Resultado dos critérios de aceite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validação foi conduzida por amostragem (repetição do mesmo processo na fila, sem impacto no índice de produção), conforme ADAP-AASPCNJ01-001.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Status de captura correto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ProcessoCaptura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Validado por amostragem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sucesso por instância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Validado por amostragem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CA03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Atualização das movimentações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Validado (teste de persistência, Fase 5)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CA04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Indexação no Elasticsearch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IModelElastic</w:t>
            </w:r>
            <w:r>
              <w:rPr>
                <w:rFonts w:ascii="Calibri" w:hAnsi="Calibri"/>
                <w:b w:val="0"/>
                <w:i w:val="0"/>
                <w:sz w:val="20"/>
              </w:rPr>
              <w:t>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Validado por amostragem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Tratamento de erro por instância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Validado (teste de fluxo, Fase 5)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Desligamento de API parceira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Validado (teste de integração, Fase 5)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CA07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Segredo de justiça por instância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Validado (teste de fluxo, Fase 5)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Conclusão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Os testes cobriram os fluxos de captura (CNJ, EPROC/ESAJ e parceiras), fallback, persistência e indexação. Todos os defeitos identificados foram tratados e os critérios de aceite foram validados por amostragem. A ausência de ambiente de Elasticsearch dedicado é a principal limitação da estratégia de teste (ver ADAP-AASPCNJ01-001).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Relatório de execução de testes consolidado a partir do Registro de Projeto AASP_CNJ v1.0 (08/06/2026).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Evidências</w:t>
      </w:r>
    </w:p>
    <w:p>
      <w:pPr>
        <w:pStyle w:val="ListBullet"/>
        <w:spacing w:before="20" w:after="40"/>
      </w:pPr>
      <w:r>
        <w:rPr>
          <w:rFonts w:ascii="Courier New" w:hAnsi="Courier New"/>
          <w:b w:val="0"/>
          <w:i w:val="0"/>
          <w:color w:val="333333"/>
          <w:sz w:val="20"/>
        </w:rPr>
        <w:t>cnj_ca01.jpeg</w:t>
      </w:r>
      <w:r>
        <w:rPr>
          <w:rFonts w:ascii="Calibri" w:hAnsi="Calibri"/>
          <w:b w:val="0"/>
          <w:i w:val="0"/>
          <w:sz w:val="22"/>
        </w:rPr>
        <w:t xml:space="preserve"> — Critério de aceite CA01</w:t>
      </w:r>
    </w:p>
    <w:p>
      <w:pPr>
        <w:pStyle w:val="ListBullet"/>
        <w:spacing w:before="20" w:after="40"/>
      </w:pPr>
      <w:r>
        <w:rPr>
          <w:rFonts w:ascii="Courier New" w:hAnsi="Courier New"/>
          <w:b w:val="0"/>
          <w:i w:val="0"/>
          <w:color w:val="333333"/>
          <w:sz w:val="20"/>
        </w:rPr>
        <w:t>cnj_ca02.jpg</w:t>
      </w:r>
      <w:r>
        <w:rPr>
          <w:rFonts w:ascii="Calibri" w:hAnsi="Calibri"/>
          <w:b w:val="0"/>
          <w:i w:val="0"/>
          <w:sz w:val="22"/>
        </w:rPr>
        <w:t xml:space="preserve"> — Critério de aceite CA02</w:t>
      </w:r>
    </w:p>
    <w:p>
      <w:pPr>
        <w:pStyle w:val="ListBullet"/>
        <w:spacing w:before="20" w:after="40"/>
      </w:pPr>
      <w:r>
        <w:rPr>
          <w:rFonts w:ascii="Courier New" w:hAnsi="Courier New"/>
          <w:b w:val="0"/>
          <w:i w:val="0"/>
          <w:color w:val="333333"/>
          <w:sz w:val="20"/>
        </w:rPr>
        <w:t>cnj_ca03.jpeg</w:t>
      </w:r>
      <w:r>
        <w:rPr>
          <w:rFonts w:ascii="Calibri" w:hAnsi="Calibri"/>
          <w:b w:val="0"/>
          <w:i w:val="0"/>
          <w:sz w:val="22"/>
        </w:rPr>
        <w:t xml:space="preserve"> — Critério de aceite CA03</w:t>
      </w:r>
    </w:p>
    <w:p>
      <w:pPr>
        <w:pStyle w:val="ListBullet"/>
        <w:spacing w:before="20" w:after="40"/>
      </w:pPr>
      <w:r>
        <w:rPr>
          <w:rFonts w:ascii="Courier New" w:hAnsi="Courier New"/>
          <w:b w:val="0"/>
          <w:i w:val="0"/>
          <w:color w:val="333333"/>
          <w:sz w:val="20"/>
        </w:rPr>
        <w:t>cnj_ca05.jpeg</w:t>
      </w:r>
      <w:r>
        <w:rPr>
          <w:rFonts w:ascii="Calibri" w:hAnsi="Calibri"/>
          <w:b w:val="0"/>
          <w:i w:val="0"/>
          <w:sz w:val="22"/>
        </w:rPr>
        <w:t xml:space="preserve"> — Critério de aceite CA05</w:t>
      </w:r>
    </w:p>
    <w:p>
      <w:pPr>
        <w:pStyle w:val="ListBullet"/>
        <w:spacing w:before="20" w:after="40"/>
      </w:pPr>
      <w:r>
        <w:rPr>
          <w:rFonts w:ascii="Courier New" w:hAnsi="Courier New"/>
          <w:b w:val="0"/>
          <w:i w:val="0"/>
          <w:color w:val="333333"/>
          <w:sz w:val="20"/>
        </w:rPr>
        <w:t>cnj_ca07.jpg</w:t>
      </w:r>
      <w:r>
        <w:rPr>
          <w:rFonts w:ascii="Calibri" w:hAnsi="Calibri"/>
          <w:b w:val="0"/>
          <w:i w:val="0"/>
          <w:sz w:val="22"/>
        </w:rPr>
        <w:t xml:space="preserve"> — Critério de aceite CA07</w:t>
      </w:r>
    </w:p>
    <w:p>
      <w:pPr>
        <w:pStyle w:val="ListBullet"/>
        <w:spacing w:before="20" w:after="40"/>
      </w:pPr>
      <w:r>
        <w:rPr>
          <w:rFonts w:ascii="Courier New" w:hAnsi="Courier New"/>
          <w:b w:val="0"/>
          <w:i w:val="0"/>
          <w:color w:val="333333"/>
          <w:sz w:val="20"/>
        </w:rPr>
        <w:t>cnj_ca04.txt</w:t>
      </w:r>
      <w:r>
        <w:rPr>
          <w:rFonts w:ascii="Calibri" w:hAnsi="Calibri"/>
          <w:b w:val="0"/>
          <w:i w:val="0"/>
          <w:sz w:val="22"/>
        </w:rPr>
        <w:t xml:space="preserve"> — Critério de aceite CA04 (anexo)</w:t>
      </w:r>
    </w:p>
    <w:p>
      <w:pPr>
        <w:pStyle w:val="Heading1"/>
      </w:pPr>
      <w:r>
        <w:t>Evidências (anexos)</w:t>
      </w:r>
    </w:p>
    <w:p>
      <w:r>
        <w:t>Critério de aceite CA01</w:t>
      </w:r>
    </w:p>
    <w:p>
      <w:r>
        <w:drawing>
          <wp:inline xmlns:a="http://schemas.openxmlformats.org/drawingml/2006/main" xmlns:pic="http://schemas.openxmlformats.org/drawingml/2006/picture">
            <wp:extent cx="5400000" cy="11441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j_ca01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4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Critério de aceite CA02</w:t>
      </w:r>
    </w:p>
    <w:p>
      <w:r>
        <w:drawing>
          <wp:inline xmlns:a="http://schemas.openxmlformats.org/drawingml/2006/main" xmlns:pic="http://schemas.openxmlformats.org/drawingml/2006/picture">
            <wp:extent cx="5400000" cy="14054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j_ca02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05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Critério de aceite CA03</w:t>
      </w:r>
    </w:p>
    <w:p>
      <w:r>
        <w:drawing>
          <wp:inline xmlns:a="http://schemas.openxmlformats.org/drawingml/2006/main" xmlns:pic="http://schemas.openxmlformats.org/drawingml/2006/picture">
            <wp:extent cx="5400000" cy="22145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j_ca03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14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Critério de aceite CA05</w:t>
      </w:r>
    </w:p>
    <w:p>
      <w:r>
        <w:drawing>
          <wp:inline xmlns:a="http://schemas.openxmlformats.org/drawingml/2006/main" xmlns:pic="http://schemas.openxmlformats.org/drawingml/2006/picture">
            <wp:extent cx="5400000" cy="155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j_ca05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Critério de aceite CA07</w:t>
      </w:r>
    </w:p>
    <w:p>
      <w:r>
        <w:drawing>
          <wp:inline xmlns:a="http://schemas.openxmlformats.org/drawingml/2006/main" xmlns:pic="http://schemas.openxmlformats.org/drawingml/2006/picture">
            <wp:extent cx="5400000" cy="2539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j_ca07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3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Critério de aceite CA04 (anexo)</w:t>
      </w:r>
    </w:p>
    <w:p>
      <w:r>
        <w:t>[anexo não-imagem: cnj_ca04.txt — ver pasta evidencias/]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REL-VV-AASPCNJ01-001</w:t>
    </w:r>
    <w:r>
      <w:tab/>
    </w:r>
    <w:r>
      <w:rPr>
        <w:rFonts w:ascii="Calibri" w:hAnsi="Calibri"/>
        <w:color w:val="555555"/>
        <w:sz w:val="18"/>
      </w:rPr>
      <w:t>Verificação e Validação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jpeg"/><Relationship Id="rId14" Type="http://schemas.openxmlformats.org/officeDocument/2006/relationships/image" Target="media/image2.jpg"/><Relationship Id="rId15" Type="http://schemas.openxmlformats.org/officeDocument/2006/relationships/image" Target="media/image3.jpeg"/><Relationship Id="rId16" Type="http://schemas.openxmlformats.org/officeDocument/2006/relationships/image" Target="media/image4.jpeg"/><Relationship Id="rId17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