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CHANGE REQUESTS — AASP GERENCIADOR · GRUPOS DE USUÁRIOS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CR-AASP01-001   ·   Versão 1.0   ·   06/06/2026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CR-AASP01-001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Grupos de Usuários — AASP Gerenciador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/ GCO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projeto foi contratado com escopo definido no TAP-AASP01-001 e requisitos formalizados em REQ-AASP01-001 (AG-20 a AG-25). O processo de change request exige aprovação formal de Marcos Turnes (AASP, PO) e Abraão Oliveira (Timeware, GP) antes de qualquer mudança de escopo ser implementada, conforme PLA-AASP01-001.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Qualquer solicitação de alteração de escopo, prazo, custo ou requisitos deve ser registrada neste documento, analisada quanto ao impacto e aprovada formalmente antes de ser incorporada ao backlog ou ao plano do projeto. Este registro é evidência do controle de escopo exigido pelos processos GPR e GCO do MPS-SW Nível C.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Registro Consolidado de Change Requests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 da Mudança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Escopo Afetado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 no Prazo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Solicitado por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 por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1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Nota:</w:t>
      </w:r>
      <w:r>
        <w:rPr>
          <w:rFonts w:ascii="Calibri" w:hAnsi="Calibri"/>
          <w:b w:val="0"/>
          <w:i w:val="0"/>
          <w:color w:val="1A5276"/>
          <w:sz w:val="22"/>
        </w:rPr>
        <w:t xml:space="preserve"> Nenhum Change Request foi registrado até 15/06/2026. O escopo permanece estável conforme TAP-AASP01-001 assinado em 19/05/2026. As histórias AG-20 a AG-25 seguem inalteradas em relação ao planejamento original.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Impacto Consolidado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Dimensão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Prazo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— zero CRs registrados até 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Custo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— zero CRs registrados até 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Escopo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Estável — AG-20 a AG-25 conforme TAP assinado em 19/05/2026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Qualidade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impacto — nenhuma alteração de requisito ou critério de aceite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Processo de Gestão de Change Requests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fluxo de gestão de change requests adotado no projeto segue as etapas abaixo: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Solicitação por escrito</w:t>
      </w:r>
      <w:r>
        <w:rPr>
          <w:rFonts w:ascii="Calibri" w:hAnsi="Calibri"/>
          <w:b w:val="0"/>
          <w:i w:val="0"/>
          <w:sz w:val="22"/>
        </w:rPr>
        <w:t xml:space="preserve"> — O solicitante (cliente ou equipe interna) encaminha a solicitação de mudança por e-mail ou Microsoft Teams para Abraão Oliveira (GP), descrevendo a mudança desejada, a justificativa e o impacto esperado.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Análise de impacto</w:t>
      </w:r>
      <w:r>
        <w:rPr>
          <w:rFonts w:ascii="Calibri" w:hAnsi="Calibri"/>
          <w:b w:val="0"/>
          <w:i w:val="0"/>
          <w:sz w:val="22"/>
        </w:rPr>
        <w:t xml:space="preserve"> — Abraão Oliveira realiza análise de impacto em até 3 dias úteis, avaliando as dimensões de prazo, custo, escopo e qualidade. O resultado é documentado em formulário de análise de CR.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Apresentação ao cliente</w:t>
      </w:r>
      <w:r>
        <w:rPr>
          <w:rFonts w:ascii="Calibri" w:hAnsi="Calibri"/>
          <w:b w:val="0"/>
          <w:i w:val="0"/>
          <w:sz w:val="22"/>
        </w:rPr>
        <w:t xml:space="preserve"> — Abraão Oliveira apresenta a análise de impacto a Marcos Turnes (AASP, PO) em reunião formal (Teams ou presencial), com as opções disponíveis e recomendação da equipe.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Aprovação formal</w:t>
      </w:r>
      <w:r>
        <w:rPr>
          <w:rFonts w:ascii="Calibri" w:hAnsi="Calibri"/>
          <w:b w:val="0"/>
          <w:i w:val="0"/>
          <w:sz w:val="22"/>
        </w:rPr>
        <w:t xml:space="preserve"> — A mudança somente é aprovada com assinatura (ou confirmação formal por e-mail) de Marcos Turnes (AASP) e Abraão Oliveira (Timeware). Mudanças sem aprovação dupla não são implementadas.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Registro neste documento</w:t>
      </w:r>
      <w:r>
        <w:rPr>
          <w:rFonts w:ascii="Calibri" w:hAnsi="Calibri"/>
          <w:b w:val="0"/>
          <w:i w:val="0"/>
          <w:sz w:val="22"/>
        </w:rPr>
        <w:t xml:space="preserve"> — O CR aprovado é registrado na tabela da Seção 2, com todos os campos preenchidos, e o documento é atualizado com nova versão.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Implementação na próxima sprint disponível</w:t>
      </w:r>
      <w:r>
        <w:rPr>
          <w:rFonts w:ascii="Calibri" w:hAnsi="Calibri"/>
          <w:b w:val="0"/>
          <w:i w:val="0"/>
          <w:sz w:val="22"/>
        </w:rPr>
        <w:t xml:space="preserve"> — A mudança aprovada é inserida no backlog pelo PO (Marcos Turnes) e planejada para a próxima sprint disponível, conforme capacidade da equipe.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Histórico de CRs Pendentes / Em Avaliação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Nenhum Change Request em avaliação em 15/06/2026.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de Solicitação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 Atual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Previsão de Análise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Nota:</w:t>
      </w:r>
      <w:r>
        <w:rPr>
          <w:rFonts w:ascii="Calibri" w:hAnsi="Calibri"/>
          <w:b w:val="0"/>
          <w:i w:val="0"/>
          <w:color w:val="1A5276"/>
          <w:sz w:val="22"/>
        </w:rPr>
        <w:t xml:space="preserve"> Não há CRs pendentes ou em avaliação na data de referência deste documento.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zero CRs registrados; escopo estável conforme TAP-AASP01-001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06/06/2026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v1.0  ·  06/06/2026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CR-AASP01-001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