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de Registros do Projeto — MilhasFacil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INDICE-MILHASFACIL01-001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Código do projeto</w:t>
            </w:r>
          </w:p>
        </w:tc>
        <w:tc>
          <w:tcPr>
            <w:tcW w:type="dxa" w:w="4320"/>
          </w:tcPr>
          <w:p>
            <w:r>
              <w:t>MILHASFACIL01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Natureza</w:t>
            </w:r>
          </w:p>
        </w:tc>
        <w:tc>
          <w:tcPr>
            <w:tcW w:type="dxa" w:w="4320"/>
          </w:tcPr>
          <w:p>
            <w:r>
              <w:t xml:space="preserve">Documento de controle / índice — apoio interno. Organiza a produção das evidências do projeto; </w:t>
            </w:r>
            <w:r>
              <w:rPr>
                <w:b/>
              </w:rPr>
              <w:t>não é, ele próprio, evidência auditável pela ASR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Fonte consolidada</w:t>
            </w:r>
          </w:p>
        </w:tc>
        <w:tc>
          <w:tcPr>
            <w:tcW w:type="dxa" w:w="4320"/>
          </w:tcPr>
          <w:p>
            <w:r>
              <w:t xml:space="preserve">Planilha de Gestão </w:t>
            </w:r>
            <w:r>
              <w:rPr>
                <w:rFonts w:ascii="Consolas" w:hAnsi="Consolas"/>
              </w:rPr>
              <w:t>GEST-MILHASFACIL01-001</w:t>
            </w:r>
            <w:r>
              <w:t xml:space="preserve"> (fonte da verdade de gestão) + código real dos três repositórios + APIs GitLab/Jira (coleta 15/06/2026)</w:t>
            </w:r>
          </w:p>
        </w:tc>
      </w:tr>
    </w:tbl>
    <w:p/>
    <w:p>
      <w:pPr>
        <w:pStyle w:val="IntenseQuote"/>
      </w:pPr>
      <w:r>
        <w:rPr>
          <w:b/>
        </w:rPr>
        <w:t>Como usar:</w:t>
      </w:r>
      <w:r>
        <w:t xml:space="preserve"> este índice mapeia todos os registros MPS a produzir para o projeto MILHASFACIL01, o status de cada um e o processo MPS-SW que evidenciam. Conforme cada artefato for gerado ou atualizado, ajustar a coluna </w:t>
      </w:r>
      <w:r>
        <w:rPr>
          <w:b/>
        </w:rPr>
        <w:t>Status</w:t>
      </w:r>
      <w:r>
        <w:t xml:space="preserve"> e registrar no histórico ao final.</w:t>
      </w:r>
    </w:p>
    <w:p>
      <w:pPr>
        <w:pStyle w:val="Heading2"/>
      </w:pPr>
      <w:r>
        <w:t>1. Contexto e momento do projeto</w:t>
      </w:r>
    </w:p>
    <w:p>
      <w:pPr>
        <w:pStyle w:val="ListBullet"/>
      </w:pPr>
      <w:r>
        <w:rPr>
          <w:b/>
        </w:rPr>
        <w:t>Início:</w:t>
      </w:r>
      <w:r>
        <w:t xml:space="preserve"> 09/02/2026 · </w:t>
      </w:r>
      <w:r>
        <w:rPr>
          <w:b/>
        </w:rPr>
        <w:t>Encerramento previsto:</w:t>
      </w:r>
      <w:r>
        <w:t xml:space="preserve"> 26/07/2026.</w:t>
      </w:r>
    </w:p>
    <w:p>
      <w:pPr>
        <w:pStyle w:val="ListBullet"/>
      </w:pPr>
      <w:r>
        <w:rPr>
          <w:b/>
        </w:rPr>
        <w:t>Status atual (26/06/2026):</w:t>
      </w:r>
      <w:r>
        <w:t xml:space="preserve"> </w:t>
      </w:r>
      <w:r>
        <w:rPr>
          <w:b/>
        </w:rPr>
        <w:t>Sprint 10 de 12 em andamento</w:t>
      </w:r>
      <w:r>
        <w:t xml:space="preserve"> (15–28/06/2026); projeto </w:t>
      </w:r>
      <w:r>
        <w:rPr>
          <w:b/>
        </w:rPr>
        <w:t>ABERTO</w:t>
      </w:r>
      <w:r>
        <w:t>.</w:t>
      </w:r>
    </w:p>
    <w:p>
      <w:pPr>
        <w:pStyle w:val="ListBullet"/>
      </w:pPr>
      <w:r>
        <w:rPr>
          <w:b/>
        </w:rPr>
        <w:t>Consequência para a documentação:</w:t>
      </w:r>
      <w:r>
        <w:t xml:space="preserve"> todo o conjunto de </w:t>
      </w:r>
      <w:r>
        <w:rPr>
          <w:b/>
        </w:rPr>
        <w:t>execução</w:t>
      </w:r>
      <w:r>
        <w:t xml:space="preserve"> (Ondas 1 e 2) já pode ser produzido com base no realizado em S1–S10; os artefatos de </w:t>
      </w:r>
      <w:r>
        <w:rPr>
          <w:b/>
        </w:rPr>
        <w:t>encerramento</w:t>
      </w:r>
      <w:r>
        <w:t xml:space="preserve"> (Onda 3: Termo de Encerramento, Lições Aprendidas, Ata de Aceite Final) </w:t>
      </w:r>
      <w:r>
        <w:rPr>
          <w:b/>
        </w:rPr>
        <w:t>aguardam o aceite formal</w:t>
      </w:r>
      <w:r>
        <w:t xml:space="preserve"> previsto para o fim do projeto (~26/07/2026) e ainda não se aplicam.</w:t>
      </w:r>
    </w:p>
    <w:p>
      <w:pPr>
        <w:pStyle w:val="ListBullet"/>
      </w:pPr>
      <w:r>
        <w:rPr>
          <w:b/>
        </w:rPr>
        <w:t>Equipe (time atual):</w:t>
      </w:r>
      <w:r>
        <w:t xml:space="preserve"> Abraão (GP — gestão, fora do DevOps), Cézar Velazquez (Tech Lead / Arquiteto / DevOps — revisor de MR, GitLab: cezar.velazquez), Jonathan Alves (QA — teste manual, GitLab: jonathan.barbosa), Carol/Caroline (GQA independente — fora do DevOps, GitLab: caroline.sousa), Felipe Santos (GitLab: felipe.siqueira) · Lucas Batista (GitLab: lucas.batista) · Henry Oliveira (GitLab: henry.komatsu) (Devs).</w:t>
      </w:r>
    </w:p>
    <w:p>
      <w:pPr>
        <w:pStyle w:val="Heading2"/>
      </w:pPr>
      <w:r>
        <w:t>2. Plano de produção (ondas)</w:t>
      </w:r>
    </w:p>
    <w:p>
      <w:r>
        <w:rPr>
          <w:b/>
        </w:rPr>
        <w:t>Legenda de status:</w:t>
      </w:r>
      <w:r>
        <w:t xml:space="preserve"> ✅ gerado (15/06/2026) · 🔵 aguardando encerramento (projeto aberto) · ⚪ insumo externo já existente.</w:t>
      </w:r>
    </w:p>
    <w:p>
      <w:pPr>
        <w:pStyle w:val="Heading3"/>
      </w:pPr>
      <w:r>
        <w:t>Onda 1 — Núcleo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Código do artefato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TAP-MILHASFACIL01-001</w:t>
            </w:r>
          </w:p>
        </w:tc>
        <w:tc>
          <w:tcPr>
            <w:tcW w:type="dxa" w:w="1728"/>
          </w:tcPr>
          <w:p>
            <w:r>
              <w:t>Termo de Abertura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PLA-MILHASFACIL01-001</w:t>
            </w:r>
          </w:p>
        </w:tc>
        <w:tc>
          <w:tcPr>
            <w:tcW w:type="dxa" w:w="1728"/>
          </w:tcPr>
          <w:p>
            <w:r>
              <w:t>Plano de Projeto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REQ-MILHASFACIL01-001</w:t>
            </w:r>
          </w:p>
        </w:tc>
        <w:tc>
          <w:tcPr>
            <w:tcW w:type="dxa" w:w="1728"/>
          </w:tcPr>
          <w:p>
            <w:r>
              <w:t>Documento de Requisitos</w:t>
            </w:r>
          </w:p>
        </w:tc>
        <w:tc>
          <w:tcPr>
            <w:tcW w:type="dxa" w:w="1728"/>
          </w:tcPr>
          <w:p>
            <w:r>
              <w:t>REQ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PCP-MILHASFACIL01-001</w:t>
            </w:r>
          </w:p>
        </w:tc>
        <w:tc>
          <w:tcPr>
            <w:tcW w:type="dxa" w:w="1728"/>
          </w:tcPr>
          <w:p>
            <w:r>
              <w:t>Documento de Design</w:t>
            </w:r>
          </w:p>
        </w:tc>
        <w:tc>
          <w:tcPr>
            <w:tcW w:type="dxa" w:w="1728"/>
          </w:tcPr>
          <w:p>
            <w:r>
              <w:t>PCP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3"/>
      </w:pPr>
      <w:r>
        <w:t>Onda 2 — Restante da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Código do artefato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ADAP-MILHASFACIL01-001</w:t>
            </w:r>
          </w:p>
        </w:tc>
        <w:tc>
          <w:tcPr>
            <w:tcW w:type="dxa" w:w="1728"/>
          </w:tcPr>
          <w:p>
            <w:r>
              <w:t>Registro de Adaptação do Processo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ITP-MILHASFACIL01-001</w:t>
            </w:r>
          </w:p>
        </w:tc>
        <w:tc>
          <w:tcPr>
            <w:tcW w:type="dxa" w:w="1728"/>
          </w:tcPr>
          <w:p>
            <w:r>
              <w:t>Estratégia de Integração</w:t>
            </w:r>
          </w:p>
        </w:tc>
        <w:tc>
          <w:tcPr>
            <w:tcW w:type="dxa" w:w="1728"/>
          </w:tcPr>
          <w:p>
            <w:r>
              <w:t>ITP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VV-MILHASFACIL01-001</w:t>
            </w:r>
          </w:p>
        </w:tc>
        <w:tc>
          <w:tcPr>
            <w:tcW w:type="dxa" w:w="1728"/>
          </w:tcPr>
          <w:p>
            <w:r>
              <w:t>Plano de Verificação e Validação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REL-VV-MILHASFACIL01-001</w:t>
            </w:r>
          </w:p>
        </w:tc>
        <w:tc>
          <w:tcPr>
            <w:tcW w:type="dxa" w:w="1728"/>
          </w:tcPr>
          <w:p>
            <w:r>
              <w:t>Relatório de Execução de Testes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GCO-MILHASFACIL01-001</w:t>
            </w:r>
          </w:p>
        </w:tc>
        <w:tc>
          <w:tcPr>
            <w:tcW w:type="dxa" w:w="1728"/>
          </w:tcPr>
          <w:p>
            <w:r>
              <w:t>Registro de Gerência de Configuração</w:t>
            </w:r>
          </w:p>
        </w:tc>
        <w:tc>
          <w:tcPr>
            <w:tcW w:type="dxa" w:w="1728"/>
          </w:tcPr>
          <w:p>
            <w:r>
              <w:t>GCO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GDE-MILHASFACIL01-001</w:t>
            </w:r>
          </w:p>
        </w:tc>
        <w:tc>
          <w:tcPr>
            <w:tcW w:type="dxa" w:w="1728"/>
          </w:tcPr>
          <w:p>
            <w:r>
              <w:t>Registro de Análise de Decisão</w:t>
            </w:r>
          </w:p>
        </w:tc>
        <w:tc>
          <w:tcPr>
            <w:tcW w:type="dxa" w:w="1728"/>
          </w:tcPr>
          <w:p>
            <w:r>
              <w:t>GDE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MED-MILHASFACIL01-001</w:t>
            </w:r>
          </w:p>
        </w:tc>
        <w:tc>
          <w:tcPr>
            <w:tcW w:type="dxa" w:w="1728"/>
          </w:tcPr>
          <w:p>
            <w:r>
              <w:t>Registro de Medição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RASTR-MILHASFACIL01-001</w:t>
            </w:r>
          </w:p>
        </w:tc>
        <w:tc>
          <w:tcPr>
            <w:tcW w:type="dxa" w:w="1728"/>
          </w:tcPr>
          <w:p>
            <w:r>
              <w:t>Matriz de Rastreabilidade</w:t>
            </w:r>
          </w:p>
        </w:tc>
        <w:tc>
          <w:tcPr>
            <w:tcW w:type="dxa" w:w="1728"/>
          </w:tcPr>
          <w:p>
            <w:r>
              <w:t>REQ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RAC-MILHASFACIL01-001</w:t>
            </w:r>
          </w:p>
        </w:tc>
        <w:tc>
          <w:tcPr>
            <w:tcW w:type="dxa" w:w="1728"/>
          </w:tcPr>
          <w:p>
            <w:r>
              <w:t>Relatório de Acompanhamento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CR-MILHASFACIL01-001</w:t>
            </w:r>
          </w:p>
        </w:tc>
        <w:tc>
          <w:tcPr>
            <w:tcW w:type="dxa" w:w="1728"/>
          </w:tcPr>
          <w:p>
            <w:r>
              <w:t>Change Request (CR-MF-001 — filtros antecipados S10→S9)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ATA-MILHASFACIL01-001</w:t>
            </w:r>
          </w:p>
        </w:tc>
        <w:tc>
          <w:tcPr>
            <w:tcW w:type="dxa" w:w="1728"/>
          </w:tcPr>
          <w:p>
            <w:r>
              <w:t>Ata de Kickoff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ATA-MILHASFACIL01-002</w:t>
            </w:r>
          </w:p>
        </w:tc>
        <w:tc>
          <w:tcPr>
            <w:tcW w:type="dxa" w:w="1728"/>
          </w:tcPr>
          <w:p>
            <w:r>
              <w:t>Ata de Aprovação de Arquitetura (Design Review — PO + Tech Lead)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GQA-MILHASFACIL01-001</w:t>
            </w:r>
          </w:p>
        </w:tc>
        <w:tc>
          <w:tcPr>
            <w:tcW w:type="dxa" w:w="1728"/>
          </w:tcPr>
          <w:p>
            <w:r>
              <w:t>Registro de GQA</w:t>
            </w:r>
          </w:p>
        </w:tc>
        <w:tc>
          <w:tcPr>
            <w:tcW w:type="dxa" w:w="1728"/>
          </w:tcPr>
          <w:p>
            <w:r>
              <w:t>GPC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CAP-MILHASFACIL01-001</w:t>
            </w:r>
          </w:p>
        </w:tc>
        <w:tc>
          <w:tcPr>
            <w:tcW w:type="dxa" w:w="1728"/>
          </w:tcPr>
          <w:p>
            <w:r>
              <w:t>Registro de Capacitação da Equipe</w:t>
            </w:r>
          </w:p>
        </w:tc>
        <w:tc>
          <w:tcPr>
            <w:tcW w:type="dxa" w:w="1728"/>
          </w:tcPr>
          <w:p>
            <w:r>
              <w:t>CAP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REV-MILHASFACIL01-001</w:t>
            </w:r>
          </w:p>
        </w:tc>
        <w:tc>
          <w:tcPr>
            <w:tcW w:type="dxa" w:w="1728"/>
          </w:tcPr>
          <w:p>
            <w:r>
              <w:t>Registro de Revisão por Pares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CTQ-MILHASFACIL01-001</w:t>
            </w:r>
          </w:p>
        </w:tc>
        <w:tc>
          <w:tcPr>
            <w:tcW w:type="dxa" w:w="1728"/>
          </w:tcPr>
          <w:p>
            <w:r>
              <w:t>Cenários de Teste por card (Gherkin + critério + aprovação)</w:t>
            </w:r>
          </w:p>
        </w:tc>
        <w:tc>
          <w:tcPr>
            <w:tcW w:type="dxa" w:w="1728"/>
          </w:tcPr>
          <w:p>
            <w:r>
              <w:t>VV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GEST-MILHASFACIL01-001</w:t>
            </w:r>
          </w:p>
        </w:tc>
        <w:tc>
          <w:tcPr>
            <w:tcW w:type="dxa" w:w="1728"/>
          </w:tcPr>
          <w:p>
            <w:r>
              <w:t>Planilha de Gestão do Projeto (xlsx, 10 abas) — fonte da verdade de gestão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IntenseQuote"/>
      </w:pPr>
      <w:r>
        <w:t xml:space="preserve">Nota: não há registro de aprovação de </w:t>
      </w:r>
      <w:r>
        <w:rPr>
          <w:b/>
        </w:rPr>
        <w:t>design de UI/UX</w:t>
      </w:r>
      <w:r>
        <w:t xml:space="preserve"> porque o </w:t>
      </w:r>
      <w:r>
        <w:rPr>
          <w:b/>
        </w:rPr>
        <w:t>layout é fornecido pelo cliente</w:t>
      </w:r>
      <w:r>
        <w:t xml:space="preserve"> (Hub de Milhas); a aprovação de design restringe-se à </w:t>
      </w:r>
      <w:r>
        <w:rPr>
          <w:b/>
        </w:rPr>
        <w:t>arquitetura técnica</w:t>
      </w:r>
      <w:r>
        <w:t xml:space="preserve"> (ATA-MILHASFACIL01-002, PO + Tech Lead).</w:t>
      </w:r>
    </w:p>
    <w:p>
      <w:pPr>
        <w:pStyle w:val="Heading3"/>
      </w:pPr>
      <w:r>
        <w:t>Onda 3 — Encerramento (aguardar aceite formal ~26/07/2026)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Código do artefato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ATA-MILHASFACIL01-003</w:t>
            </w:r>
          </w:p>
        </w:tc>
        <w:tc>
          <w:tcPr>
            <w:tcW w:type="dxa" w:w="1728"/>
          </w:tcPr>
          <w:p>
            <w:r>
              <w:t>Ata de Aceite Final</w:t>
            </w:r>
          </w:p>
        </w:tc>
        <w:tc>
          <w:tcPr>
            <w:tcW w:type="dxa" w:w="1728"/>
          </w:tcPr>
          <w:p>
            <w:r>
              <w:t>ORG</w:t>
            </w:r>
          </w:p>
        </w:tc>
        <w:tc>
          <w:tcPr>
            <w:tcW w:type="dxa" w:w="1728"/>
          </w:tcPr>
          <w:p>
            <w:r>
              <w:t>🔵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TAE-MILHASFACIL01-001</w:t>
            </w:r>
          </w:p>
        </w:tc>
        <w:tc>
          <w:tcPr>
            <w:tcW w:type="dxa" w:w="1728"/>
          </w:tcPr>
          <w:p>
            <w:r>
              <w:t>Termo de Encerramento e Aceite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🔵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LI-MILHASFACIL01-001</w:t>
            </w:r>
          </w:p>
        </w:tc>
        <w:tc>
          <w:tcPr>
            <w:tcW w:type="dxa" w:w="1728"/>
          </w:tcPr>
          <w:p>
            <w:r>
              <w:t>Lições Aprendidas</w:t>
            </w:r>
          </w:p>
        </w:tc>
        <w:tc>
          <w:tcPr>
            <w:tcW w:type="dxa" w:w="1728"/>
          </w:tcPr>
          <w:p>
            <w:r>
              <w:t>GPR</w:t>
            </w:r>
          </w:p>
        </w:tc>
        <w:tc>
          <w:tcPr>
            <w:tcW w:type="dxa" w:w="1728"/>
          </w:tcPr>
          <w:p>
            <w:r>
              <w:t>🔵</w:t>
            </w:r>
          </w:p>
        </w:tc>
      </w:tr>
    </w:tbl>
    <w:p/>
    <w:p>
      <w:pPr>
        <w:pStyle w:val="Heading3"/>
      </w:pPr>
      <w:r>
        <w:t>Fora de 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4320"/>
          </w:tcPr>
          <w:p>
            <w:r>
              <w:t>AQU — Aquisição</w:t>
            </w:r>
          </w:p>
        </w:tc>
        <w:tc>
          <w:tcPr>
            <w:tcW w:type="dxa" w:w="4320"/>
          </w:tcPr>
          <w:p>
            <w:r>
              <w:t xml:space="preserve">🔴 </w:t>
            </w:r>
            <w:r>
              <w:rPr>
                <w:b/>
              </w:rPr>
              <w:t>Não gerar registro de projeto.</w:t>
            </w:r>
            <w:r>
              <w:t xml:space="preserve"> A equipe é própria da Timeware; não há subcontratação de desenvolvimento. Z-API e as cias aéreas são dependências de serviço/insumo, tratadas em ITP e na seção de Riscos do PLA, não em um registro AQU.</w:t>
            </w:r>
          </w:p>
        </w:tc>
      </w:tr>
    </w:tbl>
    <w:p/>
    <w:p>
      <w:pPr>
        <w:pStyle w:val="Heading2"/>
      </w:pPr>
      <w:r>
        <w:t>3. Evidências em imagem a capturar</w:t>
      </w:r>
    </w:p>
    <w:p>
      <w:r>
        <w:t xml:space="preserve">Os registros referenciam capturas de tela que devem ser anexadas na subpasta </w:t>
      </w:r>
      <w:r>
        <w:rPr>
          <w:rFonts w:ascii="Consolas" w:hAnsi="Consolas"/>
        </w:rPr>
        <w:t>evidencias/</w:t>
      </w:r>
      <w:r>
        <w:t>. Lista consolidada: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Usado em</w:t>
            </w:r>
          </w:p>
        </w:tc>
      </w:tr>
      <w:tr>
        <w:tc>
          <w:tcPr>
            <w:tcW w:type="dxa" w:w="2160"/>
          </w:tcPr>
          <w:p>
            <w:r>
              <w:t>IMG-JIRA-01</w:t>
            </w:r>
          </w:p>
        </w:tc>
        <w:tc>
          <w:tcPr>
            <w:tcW w:type="dxa" w:w="2160"/>
          </w:tcPr>
          <w:p>
            <w:r>
              <w:t>Board 614 e burndown da sprint</w:t>
            </w:r>
          </w:p>
        </w:tc>
        <w:tc>
          <w:tcPr>
            <w:tcW w:type="dxa" w:w="2160"/>
          </w:tcPr>
          <w:p>
            <w:r>
              <w:t>Jira</w:t>
            </w:r>
          </w:p>
        </w:tc>
        <w:tc>
          <w:tcPr>
            <w:tcW w:type="dxa" w:w="2160"/>
          </w:tcPr>
          <w:p>
            <w:r>
              <w:t>RAC</w:t>
            </w:r>
          </w:p>
        </w:tc>
      </w:tr>
      <w:tr>
        <w:tc>
          <w:tcPr>
            <w:tcW w:type="dxa" w:w="2160"/>
          </w:tcPr>
          <w:p>
            <w:r>
              <w:t>IMG-GITLAB-01</w:t>
            </w:r>
          </w:p>
        </w:tc>
        <w:tc>
          <w:tcPr>
            <w:tcW w:type="dxa" w:w="2160"/>
          </w:tcPr>
          <w:p>
            <w:r>
              <w:t>Merge Requests com 2 revisores aprovados; api !15 ativo</w:t>
            </w:r>
          </w:p>
        </w:tc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>
              <w:t>REV</w:t>
            </w:r>
          </w:p>
        </w:tc>
      </w:tr>
      <w:tr>
        <w:tc>
          <w:tcPr>
            <w:tcW w:type="dxa" w:w="2160"/>
          </w:tcPr>
          <w:p>
            <w:r>
              <w:t>IMG-GITLAB-02</w:t>
            </w:r>
          </w:p>
        </w:tc>
        <w:tc>
          <w:tcPr>
            <w:tcW w:type="dxa" w:w="2160"/>
          </w:tcPr>
          <w:p>
            <w:r>
              <w:t>Lista dos 37 MRs (36 concluídos + api !15 ativo)</w:t>
            </w:r>
          </w:p>
        </w:tc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>
              <w:t>GCO</w:t>
            </w:r>
          </w:p>
        </w:tc>
      </w:tr>
      <w:tr>
        <w:tc>
          <w:tcPr>
            <w:tcW w:type="dxa" w:w="2160"/>
          </w:tcPr>
          <w:p>
            <w:r>
              <w:t>IMG-GITLAB-03</w:t>
            </w:r>
          </w:p>
        </w:tc>
        <w:tc>
          <w:tcPr>
            <w:tcW w:type="dxa" w:w="2160"/>
          </w:tcPr>
          <w:p>
            <w:r>
              <w:t>Tags/baselines (v0.1.0–v0.9.0) + branches protegidas</w:t>
            </w:r>
          </w:p>
        </w:tc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>
              <w:t>GCO</w:t>
            </w:r>
          </w:p>
        </w:tc>
      </w:tr>
      <w:tr>
        <w:tc>
          <w:tcPr>
            <w:tcW w:type="dxa" w:w="2160"/>
          </w:tcPr>
          <w:p>
            <w:r>
              <w:t>IMG-CI-01</w:t>
            </w:r>
          </w:p>
        </w:tc>
        <w:tc>
          <w:tcPr>
            <w:tcW w:type="dxa" w:w="2160"/>
          </w:tcPr>
          <w:p>
            <w:r>
              <w:t>Pipelines GitLab CI (success) + gate JaCoCo 80%</w:t>
            </w:r>
          </w:p>
        </w:tc>
        <w:tc>
          <w:tcPr>
            <w:tcW w:type="dxa" w:w="2160"/>
          </w:tcPr>
          <w:p>
            <w:r>
              <w:t>GitLab CI/CD</w:t>
            </w:r>
          </w:p>
        </w:tc>
        <w:tc>
          <w:tcPr>
            <w:tcW w:type="dxa" w:w="2160"/>
          </w:tcPr>
          <w:p>
            <w:r>
              <w:t>RAC, REL-VV</w:t>
            </w:r>
          </w:p>
        </w:tc>
      </w:tr>
      <w:tr>
        <w:tc>
          <w:tcPr>
            <w:tcW w:type="dxa" w:w="2160"/>
          </w:tcPr>
          <w:p>
            <w:r>
              <w:t>IMG-CI-02</w:t>
            </w:r>
          </w:p>
        </w:tc>
        <w:tc>
          <w:tcPr>
            <w:tcW w:type="dxa" w:w="2160"/>
          </w:tcPr>
          <w:p>
            <w:r>
              <w:t>Pipelines recentes succeeded (S9)</w:t>
            </w:r>
          </w:p>
        </w:tc>
        <w:tc>
          <w:tcPr>
            <w:tcW w:type="dxa" w:w="2160"/>
          </w:tcPr>
          <w:p>
            <w:r>
              <w:t>GitLab CI/CD</w:t>
            </w:r>
          </w:p>
        </w:tc>
        <w:tc>
          <w:tcPr>
            <w:tcW w:type="dxa" w:w="2160"/>
          </w:tcPr>
          <w:p>
            <w:r>
              <w:t>REL-VV</w:t>
            </w:r>
          </w:p>
        </w:tc>
      </w:tr>
      <w:tr>
        <w:tc>
          <w:tcPr>
            <w:tcW w:type="dxa" w:w="2160"/>
          </w:tcPr>
          <w:p>
            <w:r>
              <w:t>IMG-CI-03</w:t>
            </w:r>
          </w:p>
        </w:tc>
        <w:tc>
          <w:tcPr>
            <w:tcW w:type="dxa" w:w="2160"/>
          </w:tcPr>
          <w:p>
            <w:r>
              <w:t>Relatório de cobertura JaCoCo</w:t>
            </w:r>
          </w:p>
        </w:tc>
        <w:tc>
          <w:tcPr>
            <w:tcW w:type="dxa" w:w="2160"/>
          </w:tcPr>
          <w:p>
            <w:r>
              <w:t>GitLab CI/CD artifacts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</w:tr>
      <w:tr>
        <w:tc>
          <w:tcPr>
            <w:tcW w:type="dxa" w:w="2160"/>
          </w:tcPr>
          <w:p>
            <w:r>
              <w:t>IMG-CI-04</w:t>
            </w:r>
          </w:p>
        </w:tc>
        <w:tc>
          <w:tcPr>
            <w:tcW w:type="dxa" w:w="2160"/>
          </w:tcPr>
          <w:p>
            <w:r>
              <w:t>Estágios do pipeline (Test→Build)</w:t>
            </w:r>
          </w:p>
        </w:tc>
        <w:tc>
          <w:tcPr>
            <w:tcW w:type="dxa" w:w="2160"/>
          </w:tcPr>
          <w:p>
            <w:r>
              <w:t>GitLab CI/CD</w:t>
            </w:r>
          </w:p>
        </w:tc>
        <w:tc>
          <w:tcPr>
            <w:tcW w:type="dxa" w:w="2160"/>
          </w:tcPr>
          <w:p>
            <w:r>
              <w:t>ITP</w:t>
            </w:r>
          </w:p>
        </w:tc>
      </w:tr>
      <w:tr>
        <w:tc>
          <w:tcPr>
            <w:tcW w:type="dxa" w:w="2160"/>
          </w:tcPr>
          <w:p>
            <w:r>
              <w:t>IMG-SWAGGER-01</w:t>
            </w:r>
          </w:p>
        </w:tc>
        <w:tc>
          <w:tcPr>
            <w:tcW w:type="dxa" w:w="2160"/>
          </w:tcPr>
          <w:p>
            <w:r>
              <w:t>Swagger UI da API</w:t>
            </w:r>
          </w:p>
        </w:tc>
        <w:tc>
          <w:tcPr>
            <w:tcW w:type="dxa" w:w="2160"/>
          </w:tcPr>
          <w:p>
            <w:r>
              <w:t>API (springdoc)</w:t>
            </w:r>
          </w:p>
        </w:tc>
        <w:tc>
          <w:tcPr>
            <w:tcW w:type="dxa" w:w="2160"/>
          </w:tcPr>
          <w:p>
            <w:r>
              <w:t>PCP</w:t>
            </w:r>
          </w:p>
        </w:tc>
      </w:tr>
      <w:tr>
        <w:tc>
          <w:tcPr>
            <w:tcW w:type="dxa" w:w="2160"/>
          </w:tcPr>
          <w:p>
            <w:r>
              <w:t>IMG-ARQ-01</w:t>
            </w:r>
          </w:p>
        </w:tc>
        <w:tc>
          <w:tcPr>
            <w:tcW w:type="dxa" w:w="2160"/>
          </w:tcPr>
          <w:p>
            <w:r>
              <w:t>Diagrama de arquitetura da solução (3 serviços)</w:t>
            </w:r>
          </w:p>
        </w:tc>
        <w:tc>
          <w:tcPr>
            <w:tcW w:type="dxa" w:w="2160"/>
          </w:tcPr>
          <w:p>
            <w:r>
              <w:t>Design Review / doc de arquitetura</w:t>
            </w:r>
          </w:p>
        </w:tc>
        <w:tc>
          <w:tcPr>
            <w:tcW w:type="dxa" w:w="2160"/>
          </w:tcPr>
          <w:p>
            <w:r>
              <w:t>ATA-002</w:t>
            </w:r>
          </w:p>
        </w:tc>
      </w:tr>
      <w:tr>
        <w:tc>
          <w:tcPr>
            <w:tcW w:type="dxa" w:w="2160"/>
          </w:tcPr>
          <w:p>
            <w:r>
              <w:t>IMG-QA-01</w:t>
            </w:r>
          </w:p>
        </w:tc>
        <w:tc>
          <w:tcPr>
            <w:tcW w:type="dxa" w:w="2160"/>
          </w:tcPr>
          <w:p>
            <w:r>
              <w:t>Evidência de teste manual — auth (register/login)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  <w:tr>
        <w:tc>
          <w:tcPr>
            <w:tcW w:type="dxa" w:w="2160"/>
          </w:tcPr>
          <w:p>
            <w:r>
              <w:t>IMG-QA-02</w:t>
            </w:r>
          </w:p>
        </w:tc>
        <w:tc>
          <w:tcPr>
            <w:tcW w:type="dxa" w:w="2160"/>
          </w:tcPr>
          <w:p>
            <w:r>
              <w:t>Evidência de teste manual — busca de voos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  <w:tr>
        <w:tc>
          <w:tcPr>
            <w:tcW w:type="dxa" w:w="2160"/>
          </w:tcPr>
          <w:p>
            <w:r>
              <w:t>IMG-QA-03</w:t>
            </w:r>
          </w:p>
        </w:tc>
        <w:tc>
          <w:tcPr>
            <w:tcW w:type="dxa" w:w="2160"/>
          </w:tcPr>
          <w:p>
            <w:r>
              <w:t>Evidência de teste manual — logout/blacklist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  <w:tr>
        <w:tc>
          <w:tcPr>
            <w:tcW w:type="dxa" w:w="2160"/>
          </w:tcPr>
          <w:p>
            <w:r>
              <w:t>IMG-QA-04</w:t>
            </w:r>
          </w:p>
        </w:tc>
        <w:tc>
          <w:tcPr>
            <w:tcW w:type="dxa" w:w="2160"/>
          </w:tcPr>
          <w:p>
            <w:r>
              <w:t>Evidência de teste manual — filtros avançados (S9)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  <w:tr>
        <w:tc>
          <w:tcPr>
            <w:tcW w:type="dxa" w:w="2160"/>
          </w:tcPr>
          <w:p>
            <w:r>
              <w:t>IMG-QA-05</w:t>
            </w:r>
          </w:p>
        </w:tc>
        <w:tc>
          <w:tcPr>
            <w:tcW w:type="dxa" w:w="2160"/>
          </w:tcPr>
          <w:p>
            <w:r>
              <w:t>Evidência de teste manual — airport ILIKE (S9)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  <w:tr>
        <w:tc>
          <w:tcPr>
            <w:tcW w:type="dxa" w:w="2160"/>
          </w:tcPr>
          <w:p>
            <w:r>
              <w:t>IMG-QA-06</w:t>
            </w:r>
          </w:p>
        </w:tc>
        <w:tc>
          <w:tcPr>
            <w:tcW w:type="dxa" w:w="2160"/>
          </w:tcPr>
          <w:p>
            <w:r>
              <w:t>Evidência de teste manual — export CSV (S9)</w:t>
            </w:r>
          </w:p>
        </w:tc>
        <w:tc>
          <w:tcPr>
            <w:tcW w:type="dxa" w:w="2160"/>
          </w:tcPr>
          <w:p>
            <w:r>
              <w:t>QA (homologação)</w:t>
            </w:r>
          </w:p>
        </w:tc>
        <w:tc>
          <w:tcPr>
            <w:tcW w:type="dxa" w:w="2160"/>
          </w:tcPr>
          <w:p>
            <w:r>
              <w:t>CTQ</w:t>
            </w:r>
          </w:p>
        </w:tc>
      </w:tr>
    </w:tbl>
    <w:p/>
    <w:p>
      <w:pPr>
        <w:pStyle w:val="Heading2"/>
      </w:pPr>
      <w:r>
        <w:t>4. Observações de classificação</w:t>
      </w:r>
    </w:p>
    <w:p>
      <w:pPr>
        <w:pStyle w:val="ListBullet"/>
      </w:pPr>
      <w:r>
        <w:rPr>
          <w:b/>
        </w:rPr>
        <w:t>Formato:</w:t>
      </w:r>
      <w:r>
        <w:t xml:space="preserve"> registros produzidos em Markdown (</w:t>
      </w:r>
      <w:r>
        <w:rPr>
          <w:rFonts w:ascii="Consolas" w:hAnsi="Consolas"/>
        </w:rPr>
        <w:t>.md</w:t>
      </w:r>
      <w:r>
        <w:t>); conversão para Word (</w:t>
      </w:r>
      <w:r>
        <w:rPr>
          <w:rFonts w:ascii="Consolas" w:hAnsi="Consolas"/>
        </w:rPr>
        <w:t>.docx</w:t>
      </w:r>
      <w:r>
        <w:t>) gerada em paralelo na mesma pasta.</w:t>
      </w:r>
    </w:p>
    <w:p>
      <w:pPr>
        <w:pStyle w:val="ListBullet"/>
      </w:pPr>
      <w:r>
        <w:rPr>
          <w:b/>
        </w:rPr>
        <w:t>Release v0.9.0 (15/06/2026):</w:t>
      </w:r>
      <w:r>
        <w:t xml:space="preserve"> </w:t>
      </w:r>
      <w:r>
        <w:rPr>
          <w:rFonts w:ascii="Consolas" w:hAnsi="Consolas"/>
        </w:rPr>
        <w:t>develop</w:t>
      </w:r>
      <w:r>
        <w:t xml:space="preserve"> foi promovido </w:t>
      </w:r>
      <w:r>
        <w:rPr>
          <w:rFonts w:ascii="Consolas" w:hAnsi="Consolas"/>
        </w:rPr>
        <w:t>develop→homolog→main</w:t>
      </w:r>
      <w:r>
        <w:t xml:space="preserve"> nos 3 repositórios, com </w:t>
      </w:r>
      <w:r>
        <w:rPr>
          <w:b/>
        </w:rPr>
        <w:t>tag v0.9.0</w:t>
      </w:r>
      <w:r>
        <w:t xml:space="preserve"> em </w:t>
      </w:r>
      <w:r>
        <w:rPr>
          <w:rFonts w:ascii="Consolas" w:hAnsi="Consolas"/>
        </w:rPr>
        <w:t>main</w:t>
      </w:r>
      <w:r>
        <w:t xml:space="preserve">. Os filtros avançados (RF13), export CSV (RF14) e airport ILIKE (MF-64) estão </w:t>
      </w:r>
      <w:r>
        <w:rPr>
          <w:b/>
        </w:rPr>
        <w:t>Entregues (released em `main`)</w:t>
      </w:r>
      <w:r>
        <w:t xml:space="preserve">. </w:t>
      </w:r>
      <w:r>
        <w:rPr>
          <w:rFonts w:ascii="Consolas" w:hAnsi="Consolas"/>
        </w:rPr>
        <w:t>main</w:t>
      </w:r>
      <w:r>
        <w:t xml:space="preserve"> passou a abranger </w:t>
      </w:r>
      <w:r>
        <w:rPr>
          <w:b/>
        </w:rPr>
        <w:t>Flyway V1–V5 + V9 (`airport_search_index`)</w:t>
      </w:r>
      <w:r>
        <w:t xml:space="preserve">; a migration </w:t>
      </w:r>
      <w:r>
        <w:rPr>
          <w:b/>
        </w:rPr>
        <w:t>V10</w:t>
      </w:r>
      <w:r>
        <w:t xml:space="preserve"> (padronização de nomenclatura de BD, MF-73) está no </w:t>
      </w:r>
      <w:r>
        <w:rPr>
          <w:b/>
        </w:rPr>
        <w:t>api !15 ativo</w:t>
      </w:r>
      <w:r>
        <w:t>, ainda não mergeada.</w:t>
      </w:r>
    </w:p>
    <w:p>
      <w:pPr>
        <w:pStyle w:val="ListBullet"/>
      </w:pPr>
      <w:r>
        <w:rPr>
          <w:b/>
        </w:rPr>
        <w:t>Revisão de MR (26/06/2026):</w:t>
      </w:r>
      <w:r>
        <w:t xml:space="preserve"> todos os </w:t>
      </w:r>
      <w:r>
        <w:rPr>
          <w:b/>
        </w:rPr>
        <w:t>37 MRs</w:t>
      </w:r>
      <w:r>
        <w:t xml:space="preserve"> possuem </w:t>
      </w:r>
      <w:r>
        <w:rPr>
          <w:b/>
        </w:rPr>
        <w:t>exatamente 2 revisores aprovados</w:t>
      </w:r>
      <w:r>
        <w:t xml:space="preserve"> (verificado via SQL </w:t>
      </w:r>
      <w:r>
        <w:rPr>
          <w:rFonts w:ascii="Consolas" w:hAnsi="Consolas"/>
        </w:rPr>
        <w:t>merge_request_reviewers</w:t>
      </w:r>
      <w:r>
        <w:t xml:space="preserve"> — 0 linhas com contagem ≠ 2). Meta "MRs sem revisor = 0" — </w:t>
      </w:r>
      <w:r>
        <w:rPr>
          <w:b/>
        </w:rPr>
        <w:t>Cumprida</w:t>
      </w:r>
      <w:r>
        <w:t xml:space="preserve">. O </w:t>
      </w:r>
      <w:r>
        <w:rPr>
          <w:b/>
        </w:rPr>
        <w:t>api !15 (MF-73)</w:t>
      </w:r>
      <w:r>
        <w:t xml:space="preserve"> está ativo, aprovado por cezar.velazquez + lucas.batista, aguardando merge. Proteção de branch (</w:t>
      </w:r>
      <w:r>
        <w:rPr>
          <w:rFonts w:ascii="Consolas" w:hAnsi="Consolas"/>
        </w:rPr>
        <w:t>push=No one</w:t>
      </w:r>
      <w:r>
        <w:t xml:space="preserve">) ativa em </w:t>
      </w:r>
      <w:r>
        <w:rPr>
          <w:rFonts w:ascii="Consolas" w:hAnsi="Consolas"/>
        </w:rPr>
        <w:t>main</w:t>
      </w:r>
      <w:r>
        <w:t>/</w:t>
      </w:r>
      <w:r>
        <w:rPr>
          <w:rFonts w:ascii="Consolas" w:hAnsi="Consolas"/>
        </w:rPr>
        <w:t>homolog</w:t>
      </w:r>
      <w:r>
        <w:t>/</w:t>
      </w:r>
      <w:r>
        <w:rPr>
          <w:rFonts w:ascii="Consolas" w:hAnsi="Consolas"/>
        </w:rPr>
        <w:t>develop</w:t>
      </w:r>
      <w:r>
        <w:t xml:space="preserve"> nos 3 repositórios. Jira: MF-64/MF-65/MF-69 = Concluído; </w:t>
      </w:r>
      <w:r>
        <w:rPr>
          <w:b/>
        </w:rPr>
        <w:t>MF-73</w:t>
      </w:r>
      <w:r>
        <w:t xml:space="preserve"> em andamento.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Criação do índice-mestre dos registros do projeto MILHASFACIL01. Ondas 1 e 2 geradas (18 registros .md + planilha GEST existente); Onda 3 (encerramento) marcada como aguardando aceite formal.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25/06/2026</w:t>
            </w:r>
          </w:p>
        </w:tc>
        <w:tc>
          <w:tcPr>
            <w:tcW w:type="dxa" w:w="2160"/>
          </w:tcPr>
          <w:p>
            <w:r>
              <w:t>Auditoria MPS.BR Nível C</w:t>
            </w:r>
          </w:p>
        </w:tc>
        <w:tc>
          <w:tcPr>
            <w:tcW w:type="dxa" w:w="2160"/>
          </w:tcPr>
          <w:p>
            <w:r>
              <w:t>Reconciliação: status S10, plataforma GitLab, remoção de mapa de aliases Azure DevOps.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Reconciliação final MPS.BR Nível C — remoção de "Mateus Veloso" e aliases legados; contagem 29→37 MRs; api !15 substitui "MR #29"; referências IMG-DEVOPS-* atualizadas para IMG-GITLAB-*; meta "MRs sem revisor=0" confirmada (todos os 37 MRs com 2 revisores via SQL).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