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Registro de Adaptação do Processo — MilhasFacil · Busca de Milhas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ADAP-MILHASFACIL01-001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Projeto</w:t>
            </w:r>
          </w:p>
        </w:tc>
        <w:tc>
          <w:tcPr>
            <w:tcW w:type="dxa" w:w="4320"/>
          </w:tcPr>
          <w:p>
            <w:r>
              <w:t>MilhasFacil — Plataforma de Busca e Alerta de Passagens por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Código do projeto</w:t>
            </w:r>
          </w:p>
        </w:tc>
        <w:tc>
          <w:tcPr>
            <w:tcW w:type="dxa" w:w="4320"/>
          </w:tcPr>
          <w:p>
            <w:r>
              <w:t>MILHASFACIL01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Cliente</w:t>
            </w:r>
          </w:p>
        </w:tc>
        <w:tc>
          <w:tcPr>
            <w:tcW w:type="dxa" w:w="4320"/>
          </w:tcPr>
          <w:p>
            <w:r>
              <w:t>Hub de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t>26/06/2026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Situação</w:t>
            </w:r>
          </w:p>
        </w:tc>
        <w:tc>
          <w:tcPr>
            <w:tcW w:type="dxa" w:w="4320"/>
          </w:tcPr>
          <w:p>
            <w:r>
              <w:t>Aprovado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Gerente de Projeto</w:t>
            </w:r>
          </w:p>
        </w:tc>
        <w:tc>
          <w:tcPr>
            <w:tcW w:type="dxa" w:w="4320"/>
          </w:tcPr>
          <w:p>
            <w:r>
              <w:t>Abraão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Tech Lead / Arquiteto / DevOps</w:t>
            </w:r>
          </w:p>
        </w:tc>
        <w:tc>
          <w:tcPr>
            <w:tcW w:type="dxa" w:w="4320"/>
          </w:tcPr>
          <w:p>
            <w:r>
              <w:t>Cézar Velazquez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Processo MPS-SW</w:t>
            </w:r>
          </w:p>
        </w:tc>
        <w:tc>
          <w:tcPr>
            <w:tcW w:type="dxa" w:w="4320"/>
          </w:tcPr>
          <w:p>
            <w:r>
              <w:t>GPR (evidência de projeto — adaptação do processo padrão)</w:t>
            </w:r>
          </w:p>
        </w:tc>
      </w:tr>
    </w:tbl>
    <w:p/>
    <w:p>
      <w:pPr>
        <w:pStyle w:val="Heading2"/>
      </w:pPr>
      <w:r>
        <w:t>1. Objetivo</w:t>
      </w:r>
    </w:p>
    <w:p>
      <w:r>
        <w:t>Registrar as adaptações aplicadas ao processo-padrão de desenvolvimento Timeware para a execução do projeto MilhasFacil — Busca de Milhas, justificando cada decisão de tailoring e seus impactos no planejamento e na operação do ciclo de vida.</w:t>
      </w:r>
    </w:p>
    <w:p>
      <w:pPr>
        <w:pStyle w:val="Heading2"/>
      </w:pPr>
      <w:r>
        <w:t>2. Nível de adaptação do projeto (calibração)</w:t>
      </w:r>
    </w:p>
    <w:p>
      <w:r>
        <w:t xml:space="preserve">Conforme o Guia de Adaptação do Processo-Padrão (GUIA-GPC-001 §5), o projeto é classificado pela regra do </w:t>
      </w:r>
      <w:r>
        <w:rPr>
          <w:b/>
        </w:rPr>
        <w:t>nível mais alto atingido em qualquer critério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Critério (GUIA-GPC-001 §5.1)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Situação do MilhasFacil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</w:t>
            </w:r>
          </w:p>
        </w:tc>
      </w:tr>
      <w:tr>
        <w:tc>
          <w:tcPr>
            <w:tcW w:type="dxa" w:w="2880"/>
          </w:tcPr>
          <w:p>
            <w:r>
              <w:t>Duração</w:t>
            </w:r>
          </w:p>
        </w:tc>
        <w:tc>
          <w:tcPr>
            <w:tcW w:type="dxa" w:w="2880"/>
          </w:tcPr>
          <w:p>
            <w:r>
              <w:t>09/02/2026 a 26/07/2026 (~5,5 meses)</w:t>
            </w:r>
          </w:p>
        </w:tc>
        <w:tc>
          <w:tcPr>
            <w:tcW w:type="dxa" w:w="2880"/>
          </w:tcPr>
          <w:p>
            <w:r>
              <w:t>Nível 2</w:t>
            </w:r>
          </w:p>
        </w:tc>
      </w:tr>
      <w:tr>
        <w:tc>
          <w:tcPr>
            <w:tcW w:type="dxa" w:w="2880"/>
          </w:tcPr>
          <w:p>
            <w:r>
              <w:t>Tamanho da equipe</w:t>
            </w:r>
          </w:p>
        </w:tc>
        <w:tc>
          <w:tcPr>
            <w:tcW w:type="dxa" w:w="2880"/>
          </w:tcPr>
          <w:p>
            <w:r>
              <w:t>7 pessoas no projeto (GP; Tech Lead/Arquiteto/DevOps; QA; GQA; 3 desenvolvedores — DevOps = 5)</w:t>
            </w:r>
          </w:p>
        </w:tc>
        <w:tc>
          <w:tcPr>
            <w:tcW w:type="dxa" w:w="2880"/>
          </w:tcPr>
          <w:p>
            <w:r>
              <w:t>Nível 3</w:t>
            </w:r>
          </w:p>
        </w:tc>
      </w:tr>
      <w:tr>
        <w:tc>
          <w:tcPr>
            <w:tcW w:type="dxa" w:w="2880"/>
          </w:tcPr>
          <w:p>
            <w:r>
              <w:t>Complexidade técnica</w:t>
            </w:r>
          </w:p>
        </w:tc>
        <w:tc>
          <w:tcPr>
            <w:tcW w:type="dxa" w:w="2880"/>
          </w:tcPr>
          <w:p>
            <w:r>
              <w:t>Três serviços (API Spring Boot, Web Angular, Crawler Python); múltiplas integrações externas (Smiles, Azul, Latam e Z-API/WhatsApp); busca paralela; autenticação JWT com refresh e blacklist</w:t>
            </w:r>
          </w:p>
        </w:tc>
        <w:tc>
          <w:tcPr>
            <w:tcW w:type="dxa" w:w="2880"/>
          </w:tcPr>
          <w:p>
            <w:r>
              <w:t>Nível 2–3</w:t>
            </w:r>
          </w:p>
        </w:tc>
      </w:tr>
      <w:tr>
        <w:tc>
          <w:tcPr>
            <w:tcW w:type="dxa" w:w="2880"/>
          </w:tcPr>
          <w:p>
            <w:r>
              <w:t>Criticidade / SLA contratual</w:t>
            </w:r>
          </w:p>
        </w:tc>
        <w:tc>
          <w:tcPr>
            <w:tcW w:type="dxa" w:w="2880"/>
          </w:tcPr>
          <w:p>
            <w:r>
              <w:t>Sem SLA contratual rígido; impacto operacional moderado</w:t>
            </w:r>
          </w:p>
        </w:tc>
        <w:tc>
          <w:tcPr>
            <w:tcW w:type="dxa" w:w="2880"/>
          </w:tcPr>
          <w:p>
            <w:r>
              <w:t>Nível 2</w:t>
            </w:r>
          </w:p>
        </w:tc>
      </w:tr>
      <w:tr>
        <w:tc>
          <w:tcPr>
            <w:tcW w:type="dxa" w:w="2880"/>
          </w:tcPr>
          <w:p>
            <w:r>
              <w:t>Regulação / compliance</w:t>
            </w:r>
          </w:p>
        </w:tc>
        <w:tc>
          <w:tcPr>
            <w:tcW w:type="dxa" w:w="2880"/>
          </w:tcPr>
          <w:p>
            <w:r>
              <w:t>Tratamento de dados pessoais de usuário (LGPD básico); sem regulação setorial</w:t>
            </w:r>
          </w:p>
        </w:tc>
        <w:tc>
          <w:tcPr>
            <w:tcW w:type="dxa" w:w="2880"/>
          </w:tcPr>
          <w:p>
            <w:r>
              <w:t>Nível 2</w:t>
            </w:r>
          </w:p>
        </w:tc>
      </w:tr>
    </w:tbl>
    <w:p/>
    <w:p>
      <w:r>
        <w:rPr>
          <w:b/>
        </w:rPr>
        <w:t>Nível de adaptação resultante: Nível 3 — Aprofundado</w:t>
      </w:r>
      <w:r>
        <w:t>, determinado pelo tamanho da equipe e pela complexidade técnica multi-serviço com múltiplas integrações.</w:t>
      </w:r>
    </w:p>
    <w:p>
      <w:r>
        <w:t xml:space="preserve">Coerente com o Nível 3, o projeto mantém os produtos de trabalho mais formais previstos no GUIA-GPC-001 §5.2: documento de requisitos completo com </w:t>
      </w:r>
      <w:r>
        <w:rPr>
          <w:b/>
        </w:rPr>
        <w:t>rastreabilidade bidirecional explícita</w:t>
      </w:r>
      <w:r>
        <w:t xml:space="preserve"> (RASTR §2 e §3), </w:t>
      </w:r>
      <w:r>
        <w:rPr>
          <w:b/>
        </w:rPr>
        <w:t>automação de testes com métrica de cobertura</w:t>
      </w:r>
      <w:r>
        <w:t xml:space="preserve"> (JaCoCo; gate de 80% a partir da S4), </w:t>
      </w:r>
      <w:r>
        <w:rPr>
          <w:b/>
        </w:rPr>
        <w:t>plano de integração independente</w:t>
      </w:r>
      <w:r>
        <w:t xml:space="preserve"> (ITP) e </w:t>
      </w:r>
      <w:r>
        <w:rPr>
          <w:b/>
        </w:rPr>
        <w:t>GQA por ciclo/sprint</w:t>
      </w:r>
      <w:r>
        <w:t xml:space="preserve"> (auditorias GQA-A01/A02/A03). As adaptações registradas na seção seguinte ajustam a *profundidade e a forma* de execução, sem suprimir nenhum ponto de controle obrigatório (GUIA-GPC-001 §3).</w:t>
      </w:r>
    </w:p>
    <w:p>
      <w:pPr>
        <w:pStyle w:val="Heading2"/>
      </w:pPr>
      <w:r>
        <w:t>3. Adaptações aplicadas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Item do processo-padrão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Decisão de adaptação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Justificativa</w:t>
            </w:r>
          </w:p>
        </w:tc>
      </w:tr>
      <w:tr>
        <w:tc>
          <w:tcPr>
            <w:tcW w:type="dxa" w:w="2160"/>
          </w:tcPr>
          <w:p>
            <w:r>
              <w:t>A-01</w:t>
            </w:r>
          </w:p>
        </w:tc>
        <w:tc>
          <w:tcPr>
            <w:tcW w:type="dxa" w:w="2160"/>
          </w:tcPr>
          <w:p>
            <w:r>
              <w:t>Pipeline de CI executado em agente Linux padrão</w:t>
            </w:r>
          </w:p>
        </w:tc>
        <w:tc>
          <w:tcPr>
            <w:tcW w:type="dxa" w:w="2160"/>
          </w:tcPr>
          <w:p>
            <w:r>
              <w:t xml:space="preserve">Pipelines executadas no runner </w:t>
            </w:r>
            <w:r>
              <w:rPr>
                <w:b/>
              </w:rPr>
              <w:t>runner-vm-docker</w:t>
            </w:r>
            <w:r>
              <w:t xml:space="preserve"> (GitLab CI) nas três pipelines ("MilhasFacil API/Web/Crawler - Pipeline")</w:t>
            </w:r>
          </w:p>
        </w:tc>
        <w:tc>
          <w:tcPr>
            <w:tcW w:type="dxa" w:w="2160"/>
          </w:tcPr>
          <w:p>
            <w:r>
              <w:t>Runner Docker é o recurso disponível na organização; padronização das pipelines GitLab CI reduz divergência entre os três serviços. Mitiga o risco R-05 (pipeline de CI)</w:t>
            </w:r>
          </w:p>
        </w:tc>
      </w:tr>
      <w:tr>
        <w:tc>
          <w:tcPr>
            <w:tcW w:type="dxa" w:w="2160"/>
          </w:tcPr>
          <w:p>
            <w:r>
              <w:t>A-02</w:t>
            </w:r>
          </w:p>
        </w:tc>
        <w:tc>
          <w:tcPr>
            <w:tcW w:type="dxa" w:w="2160"/>
          </w:tcPr>
          <w:p>
            <w:r>
              <w:t>Histórico de repositório construído incrementalmente desde a primeira sprint</w:t>
            </w:r>
          </w:p>
        </w:tc>
        <w:tc>
          <w:tcPr>
            <w:tcW w:type="dxa" w:w="2160"/>
          </w:tcPr>
          <w:p>
            <w:r>
              <w:t xml:space="preserve">Histórico dos repositórios (MilhasFacil_api, MilhasFacil_web, MilhasFacil_crawler) </w:t>
            </w:r>
            <w:r>
              <w:rPr>
                <w:b/>
              </w:rPr>
              <w:t>inicializado de forma consolidada</w:t>
            </w:r>
            <w:r>
              <w:t xml:space="preserve"> (retroativa); saneamento prospectivo a partir da S9</w:t>
            </w:r>
          </w:p>
        </w:tc>
        <w:tc>
          <w:tcPr>
            <w:tcW w:type="dxa" w:w="2160"/>
          </w:tcPr>
          <w:p>
            <w:r>
              <w:t xml:space="preserve">A integração ao GitLab ocorreu de forma retroativa; datas reais de MR e pipeline concentram-se em 13–15/06/2026. Todos os </w:t>
            </w:r>
            <w:r>
              <w:rPr>
                <w:b/>
              </w:rPr>
              <w:t>37 MRs</w:t>
            </w:r>
            <w:r>
              <w:t xml:space="preserve"> estão com </w:t>
            </w:r>
            <w:r>
              <w:rPr>
                <w:b/>
              </w:rPr>
              <w:t>2 revisores aprovados</w:t>
            </w:r>
            <w:r>
              <w:t xml:space="preserve"> (verificado via SQL). A partir da S9 a revisão de MR está </w:t>
            </w:r>
            <w:r>
              <w:rPr>
                <w:b/>
              </w:rPr>
              <w:t>evidenciada</w:t>
            </w:r>
            <w:r>
              <w:t xml:space="preserve"> nos registros do GitLab; foi ativada a </w:t>
            </w:r>
            <w:r>
              <w:rPr>
                <w:b/>
              </w:rPr>
              <w:t>branch protection rule</w:t>
            </w:r>
            <w:r>
              <w:t xml:space="preserve"> de revisor (≥1 revisor) em develop nos três repositórios, impedindo recorrência</w:t>
            </w:r>
          </w:p>
        </w:tc>
      </w:tr>
      <w:tr>
        <w:tc>
          <w:tcPr>
            <w:tcW w:type="dxa" w:w="2160"/>
          </w:tcPr>
          <w:p>
            <w:r>
              <w:t>A-03</w:t>
            </w:r>
          </w:p>
        </w:tc>
        <w:tc>
          <w:tcPr>
            <w:tcW w:type="dxa" w:w="2160"/>
          </w:tcPr>
          <w:p>
            <w:r>
              <w:t>Gate de cobertura de testes ativo desde o Sprint 1</w:t>
            </w:r>
          </w:p>
        </w:tc>
        <w:tc>
          <w:tcPr>
            <w:tcW w:type="dxa" w:w="2160"/>
          </w:tcPr>
          <w:p>
            <w:r>
              <w:t xml:space="preserve">Gate de cobertura (JaCoCo 80% na API) </w:t>
            </w:r>
            <w:r>
              <w:rPr>
                <w:b/>
              </w:rPr>
              <w:t>ativado a partir da Sprint 4</w:t>
            </w:r>
          </w:p>
        </w:tc>
        <w:tc>
          <w:tcPr>
            <w:tcW w:type="dxa" w:w="2160"/>
          </w:tcPr>
          <w:p>
            <w:r>
              <w:t>A NC-001 (cobertura &lt;80%, JaCoCo 74% na S2) motivou a priorização de testes unitários e a introdução do gate de CI a partir da S4; a NC foi encerrada na S5 (JaCoCo 82%)</w:t>
            </w:r>
          </w:p>
        </w:tc>
      </w:tr>
      <w:tr>
        <w:tc>
          <w:tcPr>
            <w:tcW w:type="dxa" w:w="2160"/>
          </w:tcPr>
          <w:p>
            <w:r>
              <w:t>A-04</w:t>
            </w:r>
          </w:p>
        </w:tc>
        <w:tc>
          <w:tcPr>
            <w:tcW w:type="dxa" w:w="2160"/>
          </w:tcPr>
          <w:p>
            <w:r>
              <w:t>Revisão de MR com dois revisores independentes</w:t>
            </w:r>
          </w:p>
        </w:tc>
        <w:tc>
          <w:tcPr>
            <w:tcW w:type="dxa" w:w="2160"/>
          </w:tcPr>
          <w:p>
            <w:r>
              <w:t xml:space="preserve">Revisão com </w:t>
            </w:r>
            <w:r>
              <w:rPr>
                <w:b/>
              </w:rPr>
              <w:t>2 revisores aprovados</w:t>
            </w:r>
            <w:r>
              <w:t xml:space="preserve"> em todos os 37 MRs — verificado via SQL; os revisores reais incluem cezar.velazquez (Tech Lead) e lucas.batista, entre outros</w:t>
            </w:r>
          </w:p>
        </w:tc>
        <w:tc>
          <w:tcPr>
            <w:tcW w:type="dxa" w:w="2160"/>
          </w:tcPr>
          <w:p>
            <w:r>
              <w:t>Equipe enxuta com três desenvolvedores efetivos; o Tech Lead lidera a aprovação técnica dos MRs, mantendo o gate de aprovação sem ampliar o lead time. A branch protection rule de revisor em develop (S9) torna o revisor obrigatório nos três repositórios. A aprovação de escopo/CR é responsabilidade do GP (Abraão)</w:t>
            </w:r>
          </w:p>
        </w:tc>
      </w:tr>
      <w:tr>
        <w:tc>
          <w:tcPr>
            <w:tcW w:type="dxa" w:w="2160"/>
          </w:tcPr>
          <w:p>
            <w:r>
              <w:t>A-05</w:t>
            </w:r>
          </w:p>
        </w:tc>
        <w:tc>
          <w:tcPr>
            <w:tcW w:type="dxa" w:w="2160"/>
          </w:tcPr>
          <w:p>
            <w:r>
              <w:t>Cadastro de dados de referência em banco de dados</w:t>
            </w:r>
          </w:p>
        </w:tc>
        <w:tc>
          <w:tcPr>
            <w:tcW w:type="dxa" w:w="2160"/>
          </w:tcPr>
          <w:p>
            <w:r>
              <w:t xml:space="preserve">Lista de aeroportos (IATA) mantida </w:t>
            </w:r>
            <w:r>
              <w:rPr>
                <w:b/>
              </w:rPr>
              <w:t>fixa em código</w:t>
            </w:r>
            <w:r>
              <w:t xml:space="preserve"> (</w:t>
            </w:r>
            <w:r>
              <w:rPr>
                <w:rFonts w:ascii="Consolas" w:hAnsi="Consolas"/>
              </w:rPr>
              <w:t>SearchService</w:t>
            </w:r>
            <w:r>
              <w:t xml:space="preserve">) na linha principal até a release v0.9.0; a partir de v0.9.0, busca de aeroportos atendida por </w:t>
            </w:r>
            <w:r>
              <w:rPr>
                <w:b/>
              </w:rPr>
              <w:t>AirportController/AirportRepository</w:t>
            </w:r>
            <w:r>
              <w:t xml:space="preserve"> com índice </w:t>
            </w:r>
            <w:r>
              <w:rPr>
                <w:rFonts w:ascii="Consolas" w:hAnsi="Consolas"/>
              </w:rPr>
              <w:t>V9__airport_search_index.sql</w:t>
            </w:r>
            <w:r>
              <w:t xml:space="preserve"> (MF-64)</w:t>
            </w:r>
          </w:p>
        </w:tc>
        <w:tc>
          <w:tcPr>
            <w:tcW w:type="dxa" w:w="2160"/>
          </w:tcPr>
          <w:p>
            <w:r>
              <w:t xml:space="preserve">Volume estável e pequeno de aeroportos; a lista em código simplificou o deploy nas primeiras sprints. Na S9 a busca passou a ser servida por consulta paginada case-insensitive (ILIKE + extensão </w:t>
            </w:r>
            <w:r>
              <w:rPr>
                <w:rFonts w:ascii="Consolas" w:hAnsi="Consolas"/>
              </w:rPr>
              <w:t>unaccent</w:t>
            </w:r>
            <w:r>
              <w:t>), released em main na v0.9.0</w:t>
            </w:r>
          </w:p>
        </w:tc>
      </w:tr>
      <w:tr>
        <w:tc>
          <w:tcPr>
            <w:tcW w:type="dxa" w:w="2160"/>
          </w:tcPr>
          <w:p>
            <w:r>
              <w:t>A-06</w:t>
            </w:r>
          </w:p>
        </w:tc>
        <w:tc>
          <w:tcPr>
            <w:tcW w:type="dxa" w:w="2160"/>
          </w:tcPr>
          <w:p>
            <w:r>
              <w:t>Combinação de papéis</w:t>
            </w:r>
          </w:p>
        </w:tc>
        <w:tc>
          <w:tcPr>
            <w:tcW w:type="dxa" w:w="2160"/>
          </w:tcPr>
          <w:p>
            <w:r>
              <w:t xml:space="preserve">O </w:t>
            </w:r>
            <w:r>
              <w:rPr>
                <w:b/>
              </w:rPr>
              <w:t>GP (Abraão)</w:t>
            </w:r>
            <w:r>
              <w:t xml:space="preserve"> faz gestão e </w:t>
            </w:r>
            <w:r>
              <w:rPr>
                <w:b/>
              </w:rPr>
              <w:t>não codifica</w:t>
            </w:r>
            <w:r>
              <w:t xml:space="preserve"> (fora do DevOps); o </w:t>
            </w:r>
            <w:r>
              <w:rPr>
                <w:b/>
              </w:rPr>
              <w:t>Tech Lead Cézar Velazquez</w:t>
            </w:r>
            <w:r>
              <w:t xml:space="preserve"> acumula os papéis de </w:t>
            </w:r>
            <w:r>
              <w:rPr>
                <w:b/>
              </w:rPr>
              <w:t>Arquiteto e DevOps</w:t>
            </w:r>
            <w:r>
              <w:t xml:space="preserve"> e é o revisor de PR; a </w:t>
            </w:r>
            <w:r>
              <w:rPr>
                <w:b/>
              </w:rPr>
              <w:t>GQA (Carol/Caroline)</w:t>
            </w:r>
            <w:r>
              <w:t xml:space="preserve"> é </w:t>
            </w:r>
            <w:r>
              <w:rPr>
                <w:b/>
              </w:rPr>
              <w:t>independente</w:t>
            </w:r>
            <w:r>
              <w:t xml:space="preserve"> (auditoria de processo), não codifica e fica fora do DevOps; o QA de teste manual é Jonathan Alves</w:t>
            </w:r>
          </w:p>
        </w:tc>
        <w:tc>
          <w:tcPr>
            <w:tcW w:type="dxa" w:w="2160"/>
          </w:tcPr>
          <w:p>
            <w:r>
              <w:t xml:space="preserve">Equipe contratada enxuta; concentração dos papéis técnicos (TL/Arquiteto/DevOps) em Cézar para viabilidade operacional, preservando a </w:t>
            </w:r>
            <w:r>
              <w:rPr>
                <w:b/>
              </w:rPr>
              <w:t>independência da GQA (Carol)</w:t>
            </w:r>
            <w:r>
              <w:t xml:space="preserve"> em relação ao desenvolvimento e a separação do GP (gestão) da execução técnica</w:t>
            </w:r>
          </w:p>
        </w:tc>
      </w:tr>
      <w:tr>
        <w:tc>
          <w:tcPr>
            <w:tcW w:type="dxa" w:w="2160"/>
          </w:tcPr>
          <w:p>
            <w:r>
              <w:t>A-07</w:t>
            </w:r>
          </w:p>
        </w:tc>
        <w:tc>
          <w:tcPr>
            <w:tcW w:type="dxa" w:w="2160"/>
          </w:tcPr>
          <w:p>
            <w:r>
              <w:t>Notificação síncrona obrigatória ao usuário</w:t>
            </w:r>
          </w:p>
        </w:tc>
        <w:tc>
          <w:tcPr>
            <w:tcW w:type="dxa" w:w="2160"/>
          </w:tcPr>
          <w:p>
            <w:r>
              <w:t>Envio de WhatsApp via Z-API (</w:t>
            </w:r>
            <w:r>
              <w:rPr>
                <w:rFonts w:ascii="Consolas" w:hAnsi="Consolas"/>
              </w:rPr>
              <w:t>WhatsAppClient</w:t>
            </w:r>
            <w:r>
              <w:t xml:space="preserve">) tratado como </w:t>
            </w:r>
            <w:r>
              <w:rPr>
                <w:b/>
              </w:rPr>
              <w:t>best-effort</w:t>
            </w:r>
            <w:r>
              <w:t>: falha no envio não interrompe o fluxo de alerta</w:t>
            </w:r>
          </w:p>
        </w:tc>
        <w:tc>
          <w:tcPr>
            <w:tcW w:type="dxa" w:w="2160"/>
          </w:tcPr>
          <w:p>
            <w:r>
              <w:t>Disponibilidade da Z-API é externa (risco R-03); o serviço de alerta (</w:t>
            </w:r>
            <w:r>
              <w:rPr>
                <w:rFonts w:ascii="Consolas" w:hAnsi="Consolas"/>
              </w:rPr>
              <w:t>ScheduledAlertService</w:t>
            </w:r>
            <w:r>
              <w:t>) prossegue mesmo em caso de falha de notificação, com dedupe por origem-destino-milhas</w:t>
            </w:r>
          </w:p>
        </w:tc>
      </w:tr>
      <w:tr>
        <w:tc>
          <w:tcPr>
            <w:tcW w:type="dxa" w:w="2160"/>
          </w:tcPr>
          <w:p>
            <w:r>
              <w:t>A-08</w:t>
            </w:r>
          </w:p>
        </w:tc>
        <w:tc>
          <w:tcPr>
            <w:tcW w:type="dxa" w:w="2160"/>
          </w:tcPr>
          <w:p>
            <w:r>
              <w:t xml:space="preserve">Prefixo de branch de funcionalidade </w:t>
            </w:r>
            <w:r>
              <w:rPr>
                <w:rFonts w:ascii="Consolas" w:hAnsi="Consolas"/>
              </w:rPr>
              <w:t>feature/...</w:t>
            </w:r>
            <w:r>
              <w:t xml:space="preserve"> (PLA-GCO-001 §4.1)</w:t>
            </w:r>
          </w:p>
        </w:tc>
        <w:tc>
          <w:tcPr>
            <w:tcW w:type="dxa" w:w="2160"/>
          </w:tcPr>
          <w:p>
            <w:r>
              <w:t xml:space="preserve">Adotados os prefixos </w:t>
            </w:r>
            <w:r>
              <w:rPr>
                <w:b/>
              </w:rPr>
              <w:t>`feat/`</w:t>
            </w:r>
            <w:r>
              <w:t xml:space="preserve"> e </w:t>
            </w:r>
            <w:r>
              <w:rPr>
                <w:b/>
              </w:rPr>
              <w:t>`fix/`</w:t>
            </w:r>
            <w:r>
              <w:t xml:space="preserve"> seguidos da chave Jira (</w:t>
            </w:r>
            <w:r>
              <w:rPr>
                <w:rFonts w:ascii="Consolas" w:hAnsi="Consolas"/>
              </w:rPr>
              <w:t>feat/MF-XX-...</w:t>
            </w:r>
            <w:r>
              <w:t xml:space="preserve">, </w:t>
            </w:r>
            <w:r>
              <w:rPr>
                <w:rFonts w:ascii="Consolas" w:hAnsi="Consolas"/>
              </w:rPr>
              <w:t>fix/MF-XX-...</w:t>
            </w:r>
            <w:r>
              <w:t>), no padrão Conventional Branches/Commits</w:t>
            </w:r>
          </w:p>
        </w:tc>
        <w:tc>
          <w:tcPr>
            <w:tcW w:type="dxa" w:w="2160"/>
          </w:tcPr>
          <w:p>
            <w:r>
              <w:t>Alinhamento com os tipos de Conventional Commits usados no projeto (feat/fix/test/chore/ci) e com a chave de rastreabilidade MF-XX (RNF04); estratégia main/develop/feature do PLA-GCO-001 mantida na essência. O saneamento da política de branch foi concluído na S9 com a ativação da branch policy de revisor em develop nos três repositórios</w:t>
            </w:r>
          </w:p>
        </w:tc>
      </w:tr>
      <w:tr>
        <w:tc>
          <w:tcPr>
            <w:tcW w:type="dxa" w:w="2160"/>
          </w:tcPr>
          <w:p>
            <w:r>
              <w:t>A-09</w:t>
            </w:r>
          </w:p>
        </w:tc>
        <w:tc>
          <w:tcPr>
            <w:tcW w:type="dxa" w:w="2160"/>
          </w:tcPr>
          <w:p>
            <w:r>
              <w:t xml:space="preserve">Nomenclatura de scripts SQL </w:t>
            </w:r>
            <w:r>
              <w:rPr>
                <w:rFonts w:ascii="Consolas" w:hAnsi="Consolas"/>
              </w:rPr>
              <w:t>0001-create-…-table.sql</w:t>
            </w:r>
            <w:r>
              <w:t xml:space="preserve"> (GUIA-GCO-001 §4)</w:t>
            </w:r>
          </w:p>
        </w:tc>
        <w:tc>
          <w:tcPr>
            <w:tcW w:type="dxa" w:w="2160"/>
          </w:tcPr>
          <w:p>
            <w:r>
              <w:t xml:space="preserve">Migrations versionadas pela convenção do </w:t>
            </w:r>
            <w:r>
              <w:rPr>
                <w:b/>
              </w:rPr>
              <w:t>Flyway</w:t>
            </w:r>
            <w:r>
              <w:t xml:space="preserve"> (</w:t>
            </w:r>
            <w:r>
              <w:rPr>
                <w:rFonts w:ascii="Consolas" w:hAnsi="Consolas"/>
              </w:rPr>
              <w:t>V1__create_users.sql</w:t>
            </w:r>
            <w:r>
              <w:t xml:space="preserve"> … </w:t>
            </w:r>
            <w:r>
              <w:rPr>
                <w:rFonts w:ascii="Consolas" w:hAnsi="Consolas"/>
              </w:rPr>
              <w:t>V5__…</w:t>
            </w:r>
            <w:r>
              <w:t xml:space="preserve">; </w:t>
            </w:r>
            <w:r>
              <w:rPr>
                <w:rFonts w:ascii="Consolas" w:hAnsi="Consolas"/>
              </w:rPr>
              <w:t>V9__airport_search_index.sql</w:t>
            </w:r>
            <w:r>
              <w:t xml:space="preserve">); padronização de nomenclatura de BD em curso via </w:t>
            </w:r>
            <w:r>
              <w:rPr>
                <w:b/>
              </w:rPr>
              <w:t>api !15 (MF-73)</w:t>
            </w:r>
            <w:r>
              <w:t xml:space="preserve"> com </w:t>
            </w:r>
            <w:r>
              <w:rPr>
                <w:rFonts w:ascii="Consolas" w:hAnsi="Consolas"/>
              </w:rPr>
              <w:t>V10__fix_naming_conventions.sql</w:t>
            </w:r>
          </w:p>
        </w:tc>
        <w:tc>
          <w:tcPr>
            <w:tcW w:type="dxa" w:w="2160"/>
          </w:tcPr>
          <w:p>
            <w:r>
              <w:t xml:space="preserve">A ferramenta Flyway exige o prefixo </w:t>
            </w:r>
            <w:r>
              <w:rPr>
                <w:rFonts w:ascii="Consolas" w:hAnsi="Consolas"/>
              </w:rPr>
              <w:t>V&lt;n&gt;__</w:t>
            </w:r>
            <w:r>
              <w:t xml:space="preserve">; a numeração sequencial e o controle de versão do schema (objetivo do guia) são plenamente atendidos pela convenção nativa. O MR api !15 (MF-73, chore — padronização de nomenclatura de BD conforme GUIA-GCO-001) introduz a migration V10 (padronização de índices + coluna </w:t>
            </w:r>
            <w:r>
              <w:rPr>
                <w:rFonts w:ascii="Consolas" w:hAnsi="Consolas"/>
              </w:rPr>
              <w:t>is_active</w:t>
            </w:r>
            <w:r>
              <w:t xml:space="preserve">) e foi </w:t>
            </w:r>
            <w:r>
              <w:rPr>
                <w:b/>
              </w:rPr>
              <w:t>aprovado por cezar.velazquez + lucas.batista no GitLab</w:t>
            </w:r>
            <w:r>
              <w:t>, aguardando merge</w:t>
            </w:r>
          </w:p>
        </w:tc>
      </w:tr>
      <w:tr>
        <w:tc>
          <w:tcPr>
            <w:tcW w:type="dxa" w:w="2160"/>
          </w:tcPr>
          <w:p>
            <w:r>
              <w:t>A-10</w:t>
            </w:r>
          </w:p>
        </w:tc>
        <w:tc>
          <w:tcPr>
            <w:tcW w:type="dxa" w:w="2160"/>
          </w:tcPr>
          <w:p>
            <w:r>
              <w:t>Histórico de fluxo dos cards no Jira transitando pelas colunas em tempo real desde a S1</w:t>
            </w:r>
          </w:p>
        </w:tc>
        <w:tc>
          <w:tcPr>
            <w:tcW w:type="dxa" w:w="2160"/>
          </w:tcPr>
          <w:p>
            <w:r>
              <w:t xml:space="preserve">Status dos cards das sprints </w:t>
            </w:r>
            <w:r>
              <w:rPr>
                <w:b/>
              </w:rPr>
              <w:t>S1–S8 registrado de forma consolidada</w:t>
            </w:r>
            <w:r>
              <w:t xml:space="preserve"> (transições em 13–15/06); a </w:t>
            </w:r>
            <w:r>
              <w:rPr>
                <w:b/>
              </w:rPr>
              <w:t>Sprint 9 transita pelas colunas em tempo real</w:t>
            </w:r>
            <w:r>
              <w:t xml:space="preserve"> (To Do → Doing → Code Review → To Test → Done)</w:t>
            </w:r>
          </w:p>
        </w:tc>
        <w:tc>
          <w:tcPr>
            <w:tcW w:type="dxa" w:w="2160"/>
          </w:tcPr>
          <w:p>
            <w:r>
              <w:t xml:space="preserve">Mesma causa-raiz de A-02 (tooling Azure/Jira montado retroativamente). O </w:t>
            </w:r>
            <w:r>
              <w:rPr>
                <w:b/>
              </w:rPr>
              <w:t>desenvolvimento em si — os commits — seguiu a linha do tempo real das sprints</w:t>
            </w:r>
            <w:r>
              <w:t xml:space="preserve"> (fev–jun), assim como as </w:t>
            </w:r>
            <w:r>
              <w:rPr>
                <w:b/>
              </w:rPr>
              <w:t>tags v0.1.0–v0.9.0</w:t>
            </w:r>
            <w:r>
              <w:t xml:space="preserve"> (criadas no fim de cada sprint). A evidência de teste e aprovação </w:t>
            </w:r>
            <w:r>
              <w:rPr>
                <w:b/>
              </w:rPr>
              <w:t>por card</w:t>
            </w:r>
            <w:r>
              <w:t xml:space="preserve"> é registrada no </w:t>
            </w:r>
            <w:r>
              <w:rPr>
                <w:b/>
              </w:rPr>
              <w:t>CTQ-MILHASFACIL01-001</w:t>
            </w:r>
            <w:r>
              <w:t xml:space="preserve"> (cenário Gherkin + critério + resultado + aprovador), independentemente do carimbo das transições</w:t>
            </w:r>
          </w:p>
        </w:tc>
      </w:tr>
    </w:tbl>
    <w:p/>
    <w:p>
      <w:pPr>
        <w:pStyle w:val="Heading2"/>
      </w:pPr>
      <w:r>
        <w:t>4. Itens sem adaptação (processo-padrão mantido)</w:t>
      </w:r>
    </w:p>
    <w:p>
      <w:pPr>
        <w:pStyle w:val="ListBullet"/>
      </w:pPr>
      <w:r>
        <w:t>Controle de versão de código no GitLab (Git), com branch padrão main nos três repositórios.</w:t>
      </w:r>
    </w:p>
    <w:p>
      <w:pPr>
        <w:pStyle w:val="ListBullet"/>
      </w:pPr>
      <w:r>
        <w:t>PR obrigatório para develop antes do merge, com aprovação do Tech Lead (Cézar Velazquez).</w:t>
      </w:r>
    </w:p>
    <w:p>
      <w:pPr>
        <w:pStyle w:val="ListBullet"/>
      </w:pPr>
      <w:r>
        <w:t>Execução de testes (JUnit5+Mockito+AssertJ, SpringBootTest+Testcontainers, Karma, pytest) como gate no pipeline de CI.</w:t>
      </w:r>
    </w:p>
    <w:p>
      <w:pPr>
        <w:pStyle w:val="ListBullet"/>
      </w:pPr>
      <w:r>
        <w:t>Registro de riscos com probabilidade, impacto, exposição e plano de resposta.</w:t>
      </w:r>
    </w:p>
    <w:p>
      <w:pPr>
        <w:pStyle w:val="ListBullet"/>
      </w:pPr>
      <w:r>
        <w:t>Rastreabilidade de requisitos (RF → Jira → branch → PR → build).</w:t>
      </w:r>
    </w:p>
    <w:p>
      <w:pPr>
        <w:pStyle w:val="ListBullet"/>
      </w:pPr>
      <w:r>
        <w:t xml:space="preserve">Nomenclatura de branches </w:t>
      </w:r>
      <w:r>
        <w:rPr>
          <w:rFonts w:ascii="Consolas" w:hAnsi="Consolas"/>
        </w:rPr>
        <w:t>feat/</w:t>
      </w:r>
      <w:r>
        <w:t>|</w:t>
      </w:r>
      <w:r>
        <w:rPr>
          <w:rFonts w:ascii="Consolas" w:hAnsi="Consolas"/>
        </w:rPr>
        <w:t>fix/</w:t>
      </w:r>
      <w:r>
        <w:t xml:space="preserve"> + </w:t>
      </w:r>
      <w:r>
        <w:rPr>
          <w:rFonts w:ascii="Consolas" w:hAnsi="Consolas"/>
        </w:rPr>
        <w:t>MF-XX</w:t>
      </w:r>
      <w:r>
        <w:t xml:space="preserve"> (política de branch — RNF04).</w:t>
      </w:r>
    </w:p>
    <w:p>
      <w:pPr>
        <w:pStyle w:val="ListBullet"/>
      </w:pPr>
      <w:r>
        <w:t>Formalização de mudanças de escopo via change request antes da implementação (CR-MF-001).</w:t>
      </w:r>
    </w:p>
    <w:p>
      <w:pPr>
        <w:pStyle w:val="Heading2"/>
      </w:pPr>
      <w:r>
        <w:t>5. Impacto das adaptações no projeto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Adaptação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Impacto observado</w:t>
            </w:r>
          </w:p>
        </w:tc>
      </w:tr>
      <w:tr>
        <w:tc>
          <w:tcPr>
            <w:tcW w:type="dxa" w:w="4320"/>
          </w:tcPr>
          <w:p>
            <w:r>
              <w:t>A-01 (CI GitLab / runner-vm-docker)</w:t>
            </w:r>
          </w:p>
        </w:tc>
        <w:tc>
          <w:tcPr>
            <w:tcW w:type="dxa" w:w="4320"/>
          </w:tcPr>
          <w:p>
            <w:r>
              <w:t>Padronização das três pipelines; pipelines GitLab CI executadas com sucesso. Risco R-05 mantido sob controle</w:t>
            </w:r>
          </w:p>
        </w:tc>
      </w:tr>
      <w:tr>
        <w:tc>
          <w:tcPr>
            <w:tcW w:type="dxa" w:w="4320"/>
          </w:tcPr>
          <w:p>
            <w:r>
              <w:t>A-02 (histórico consolidado)</w:t>
            </w:r>
          </w:p>
        </w:tc>
        <w:tc>
          <w:tcPr>
            <w:tcW w:type="dxa" w:w="4320"/>
          </w:tcPr>
          <w:p>
            <w:r>
              <w:t>Todos os 37 MRs com 2 revisores aprovados (verificado via SQL). Meta "MRs sem revisor = 0" — Cumprida</w:t>
            </w:r>
          </w:p>
        </w:tc>
      </w:tr>
      <w:tr>
        <w:tc>
          <w:tcPr>
            <w:tcW w:type="dxa" w:w="4320"/>
          </w:tcPr>
          <w:p>
            <w:r>
              <w:t>A-03 (gate de cobertura na S4)</w:t>
            </w:r>
          </w:p>
        </w:tc>
        <w:tc>
          <w:tcPr>
            <w:tcW w:type="dxa" w:w="4320"/>
          </w:tcPr>
          <w:p>
            <w:r>
              <w:t>Cobertura JaCoCo elevada de 74% (S2) para 82% (S5); NC-001 encerrada; meta de ≥80% atendida a partir da S4</w:t>
            </w:r>
          </w:p>
        </w:tc>
      </w:tr>
      <w:tr>
        <w:tc>
          <w:tcPr>
            <w:tcW w:type="dxa" w:w="4320"/>
          </w:tcPr>
          <w:p>
            <w:r>
              <w:t>A-05 (aeroportos em código → ILIKE)</w:t>
            </w:r>
          </w:p>
        </w:tc>
        <w:tc>
          <w:tcPr>
            <w:tcW w:type="dxa" w:w="4320"/>
          </w:tcPr>
          <w:p>
            <w:r>
              <w:t xml:space="preserve">Deploy simplificado nas primeiras sprints; na S9, busca de aeroportos migrada para consulta paginada (ILIKE + </w:t>
            </w:r>
            <w:r>
              <w:rPr>
                <w:rFonts w:ascii="Consolas" w:hAnsi="Consolas"/>
              </w:rPr>
              <w:t>unaccent</w:t>
            </w:r>
            <w:r>
              <w:t>) com índice V9, released em main na v0.9.0</w:t>
            </w:r>
          </w:p>
        </w:tc>
      </w:tr>
      <w:tr>
        <w:tc>
          <w:tcPr>
            <w:tcW w:type="dxa" w:w="4320"/>
          </w:tcPr>
          <w:p>
            <w:r>
              <w:t>A-08 / A-09 (saneamento de BD e branch)</w:t>
            </w:r>
          </w:p>
        </w:tc>
        <w:tc>
          <w:tcPr>
            <w:tcW w:type="dxa" w:w="4320"/>
          </w:tcPr>
          <w:p>
            <w:r>
              <w:t>Branch protection rule de revisor ativada em develop (saneamento da política de branch); padronização de nomenclatura de BD em curso via api !15 (MF-73), migration V10 aprovada por cezar.velazquez + lucas.batista, aguardando merge</w:t>
            </w:r>
          </w:p>
        </w:tc>
      </w:tr>
    </w:tbl>
    <w:p/>
    <w:p>
      <w:pPr>
        <w:pStyle w:val="Heading2"/>
      </w:pPr>
      <w:r>
        <w:t>6. Processos não aplicáveis ao projeto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Processo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Aplicável?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Justificativa</w:t>
            </w:r>
          </w:p>
        </w:tc>
      </w:tr>
      <w:tr>
        <w:tc>
          <w:tcPr>
            <w:tcW w:type="dxa" w:w="2880"/>
          </w:tcPr>
          <w:p>
            <w:r>
              <w:t>Aquisição (AQU)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Não aplicável</w:t>
            </w:r>
          </w:p>
        </w:tc>
        <w:tc>
          <w:tcPr>
            <w:tcW w:type="dxa" w:w="2880"/>
          </w:tcPr>
          <w:p>
            <w:r>
              <w:t>Squad próprio Timeware; não há subcontratação de terceiro responsável por entrega. Os serviços externos (Z-API, portais das companhias raspados pelo crawler) são insumos/integrações, tratados em ITP e Riscos, fora do escopo de AQU.</w:t>
            </w:r>
          </w:p>
        </w:tc>
      </w:tr>
    </w:tbl>
    <w:p/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Emissão inicial — evidência do ciclo S1–S9 (MR-MPS-SW:2024 Nível C).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Inclusão da seção 2 (Nível de adaptação / calibração conforme GUIA-GPC-001 §5): projeto classificado como Nível 3 — Aprofundado; renumeração das seções seguintes.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26/06/2026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Atualização da plataforma de Azure DevOps para GitLab (Git); runner-vm-docker no lugar de PowerShell@2/agente Windows; revisores reais confirmados (cezar.velazquez + lucas.batista); 37 MRs com 2 revisores aprovados via SQL; referências a PR #29 → api !15; "Mateus Veloso" removido como alias.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