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Medição — MilhasFacil · Hub de Milhas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MED-MILHASFACIL01-001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MilhasFacil — Plataforma de Busca e Alerta de Passagens por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20"/>
          </w:tcPr>
          <w:p>
            <w:r>
              <w:t>Hub de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26/06/2026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Gerente de Projeto</w:t>
            </w:r>
          </w:p>
        </w:tc>
        <w:tc>
          <w:tcPr>
            <w:tcW w:type="dxa" w:w="4320"/>
          </w:tcPr>
          <w:p>
            <w:r>
              <w:t>Abraão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Processo MPS-SW</w:t>
            </w:r>
          </w:p>
        </w:tc>
        <w:tc>
          <w:tcPr>
            <w:tcW w:type="dxa" w:w="4320"/>
          </w:tcPr>
          <w:p>
            <w:r>
              <w:t>MED (evidência de projeto)</w:t>
            </w:r>
          </w:p>
        </w:tc>
      </w:tr>
    </w:tbl>
    <w:p/>
    <w:p>
      <w:pPr>
        <w:pStyle w:val="Heading2"/>
      </w:pPr>
      <w:r>
        <w:t>1. Objetivo</w:t>
      </w:r>
    </w:p>
    <w:p>
      <w:r>
        <w:t>Registrar as medidas coletadas ao longo do projeto MilhasFacil, conforme o Plano de Medição Organizacional, de modo a apoiar a análise de produtividade (velocity), qualidade do produto (cobertura de código e defeitos) e conformidade de processo (não conformidades e pull requests). As medidas abrangem o ciclo das sprints S1 a S9, sendo S1–S8 encerradas e S9 em andamento (01–14/06/2026). O projeto encontra-se ABERTO (S9 de 12 sprints planejadas; término previsto 26/07/2026).</w:t>
      </w:r>
    </w:p>
    <w:p>
      <w:pPr>
        <w:pStyle w:val="Heading2"/>
      </w:pPr>
      <w:r>
        <w:t>2. Objetivos de medição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Meta organizacional</w:t>
            </w:r>
          </w:p>
        </w:tc>
      </w:tr>
      <w:tr>
        <w:tc>
          <w:tcPr>
            <w:tcW w:type="dxa" w:w="2160"/>
          </w:tcPr>
          <w:p>
            <w:r>
              <w:t>Acompanhar a produtividade da equipe</w:t>
            </w:r>
          </w:p>
        </w:tc>
        <w:tc>
          <w:tcPr>
            <w:tcW w:type="dxa" w:w="2160"/>
          </w:tcPr>
          <w:p>
            <w:r>
              <w:t>Velocity (SP entregues por sprint)</w:t>
            </w:r>
          </w:p>
        </w:tc>
        <w:tc>
          <w:tcPr>
            <w:tcW w:type="dxa" w:w="2160"/>
          </w:tcPr>
          <w:p>
            <w:r>
              <w:t>Jira (board 614) / planilha de gestão</w:t>
            </w:r>
          </w:p>
        </w:tc>
        <w:tc>
          <w:tcPr>
            <w:tcW w:type="dxa" w:w="2160"/>
          </w:tcPr>
          <w:p>
            <w:r>
              <w:t>≥ 30 SP por sprint</w:t>
            </w:r>
          </w:p>
        </w:tc>
      </w:tr>
      <w:tr>
        <w:tc>
          <w:tcPr>
            <w:tcW w:type="dxa" w:w="2160"/>
          </w:tcPr>
          <w:p>
            <w:r>
              <w:t>Garantir a qualidade interna do código</w:t>
            </w:r>
          </w:p>
        </w:tc>
        <w:tc>
          <w:tcPr>
            <w:tcW w:type="dxa" w:w="2160"/>
          </w:tcPr>
          <w:p>
            <w:r>
              <w:t>Cobertura de testes (JaCoCo · Karma · pytest)</w:t>
            </w:r>
          </w:p>
        </w:tc>
        <w:tc>
          <w:tcPr>
            <w:tcW w:type="dxa" w:w="2160"/>
          </w:tcPr>
          <w:p>
            <w:r>
              <w:t>Relatórios de CI por repositório</w:t>
            </w:r>
          </w:p>
        </w:tc>
        <w:tc>
          <w:tcPr>
            <w:tcW w:type="dxa" w:w="2160"/>
          </w:tcPr>
          <w:p>
            <w:r>
              <w:t>≥ 80% (gate CI a partir da S4)</w:t>
            </w:r>
          </w:p>
        </w:tc>
      </w:tr>
      <w:tr>
        <w:tc>
          <w:tcPr>
            <w:tcW w:type="dxa" w:w="2160"/>
          </w:tcPr>
          <w:p>
            <w:r>
              <w:t>Controlar defeitos do produto</w:t>
            </w:r>
          </w:p>
        </w:tc>
        <w:tc>
          <w:tcPr>
            <w:tcW w:type="dxa" w:w="2160"/>
          </w:tcPr>
          <w:p>
            <w:r>
              <w:t>Bugs registrados por sprint</w:t>
            </w:r>
          </w:p>
        </w:tc>
        <w:tc>
          <w:tcPr>
            <w:tcW w:type="dxa" w:w="2160"/>
          </w:tcPr>
          <w:p>
            <w:r>
              <w:t>Jira (type Bug)</w:t>
            </w:r>
          </w:p>
        </w:tc>
        <w:tc>
          <w:tcPr>
            <w:tcW w:type="dxa" w:w="2160"/>
          </w:tcPr>
          <w:p>
            <w:r>
              <w:t>Tendência decrescente</w:t>
            </w:r>
          </w:p>
        </w:tc>
      </w:tr>
      <w:tr>
        <w:tc>
          <w:tcPr>
            <w:tcW w:type="dxa" w:w="2160"/>
          </w:tcPr>
          <w:p>
            <w:r>
              <w:t>Assegurar conformidade de processo</w:t>
            </w:r>
          </w:p>
        </w:tc>
        <w:tc>
          <w:tcPr>
            <w:tcW w:type="dxa" w:w="2160"/>
          </w:tcPr>
          <w:p>
            <w:r>
              <w:t>Não conformidades (NCs) abertas</w:t>
            </w:r>
          </w:p>
        </w:tc>
        <w:tc>
          <w:tcPr>
            <w:tcW w:type="dxa" w:w="2160"/>
          </w:tcPr>
          <w:p>
            <w:r>
              <w:t>Auditorias GQA</w:t>
            </w:r>
          </w:p>
        </w:tc>
        <w:tc>
          <w:tcPr>
            <w:tcW w:type="dxa" w:w="2160"/>
          </w:tcPr>
          <w:p>
            <w:r>
              <w:t>0 NC ao fim do ciclo</w:t>
            </w:r>
          </w:p>
        </w:tc>
      </w:tr>
      <w:tr>
        <w:tc>
          <w:tcPr>
            <w:tcW w:type="dxa" w:w="2160"/>
          </w:tcPr>
          <w:p>
            <w:r>
              <w:t>Assegurar rastreabilidade da integração</w:t>
            </w:r>
          </w:p>
        </w:tc>
        <w:tc>
          <w:tcPr>
            <w:tcW w:type="dxa" w:w="2160"/>
          </w:tcPr>
          <w:p>
            <w:r>
              <w:t>Merge requests sem revisor</w:t>
            </w:r>
          </w:p>
        </w:tc>
        <w:tc>
          <w:tcPr>
            <w:tcW w:type="dxa" w:w="2160"/>
          </w:tcPr>
          <w:p>
            <w:r>
              <w:t>GitLab</w:t>
            </w:r>
          </w:p>
        </w:tc>
        <w:tc>
          <w:tcPr>
            <w:tcW w:type="dxa" w:w="2160"/>
          </w:tcPr>
          <w:p>
            <w:r>
              <w:t>0 MR sem revisor</w:t>
            </w:r>
          </w:p>
        </w:tc>
      </w:tr>
    </w:tbl>
    <w:p/>
    <w:p>
      <w:pPr>
        <w:pStyle w:val="Heading3"/>
      </w:pPr>
      <w:r>
        <w:t>2.1 Correspondência com o catálogo organizacional de medidas (PLA-MED-001)</w:t>
      </w:r>
    </w:p>
    <w:p>
      <w:r>
        <w:t>As medidas coletadas no projeto são mapeadas ao catálogo organizacional M1–M7 do Plano de Medição (PLA-MED-001):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Medida org.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Definição (PLA-MED-001)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Apuração no projeto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/ situação (S1–S8)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M1</w:t>
            </w:r>
            <w:r>
              <w:t xml:space="preserve"> — Aderência ao prazo</w:t>
            </w:r>
          </w:p>
        </w:tc>
        <w:tc>
          <w:tcPr>
            <w:tcW w:type="dxa" w:w="2160"/>
          </w:tcPr>
          <w:p>
            <w:r>
              <w:t>(prazo real − prazo planejado) / prazo planejado</w:t>
            </w:r>
          </w:p>
        </w:tc>
        <w:tc>
          <w:tcPr>
            <w:tcW w:type="dxa" w:w="2160"/>
          </w:tcPr>
          <w:p>
            <w:r>
              <w:t>Sprints entregues nas datas planejadas; macro sem atraso (CR-MF-001 = 0 dia)</w:t>
            </w:r>
          </w:p>
        </w:tc>
        <w:tc>
          <w:tcPr>
            <w:tcW w:type="dxa" w:w="2160"/>
          </w:tcPr>
          <w:p>
            <w:r>
              <w:t>Dentro do esperado (0 desvio de prazo macro)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M2</w:t>
            </w:r>
            <w:r>
              <w:t xml:space="preserve"> — Esforço estimado × realizado</w:t>
            </w:r>
          </w:p>
        </w:tc>
        <w:tc>
          <w:tcPr>
            <w:tcW w:type="dxa" w:w="2160"/>
          </w:tcPr>
          <w:p>
            <w:r>
              <w:t>esforço real / esforço estimado</w:t>
            </w:r>
          </w:p>
        </w:tc>
        <w:tc>
          <w:tcPr>
            <w:tcW w:type="dxa" w:w="2160"/>
          </w:tcPr>
          <w:p>
            <w:r>
              <w:t>Horas reais / horas estimadas (§4.1)</w:t>
            </w:r>
          </w:p>
        </w:tc>
        <w:tc>
          <w:tcPr>
            <w:tcW w:type="dxa" w:w="2160"/>
          </w:tcPr>
          <w:p>
            <w:r>
              <w:t xml:space="preserve">666 h / 614 h = </w:t>
            </w:r>
            <w:r>
              <w:rPr>
                <w:b/>
              </w:rPr>
              <w:t>1,085 (+8,5%)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M3</w:t>
            </w:r>
            <w:r>
              <w:t xml:space="preserve"> — Velocity</w:t>
            </w:r>
          </w:p>
        </w:tc>
        <w:tc>
          <w:tcPr>
            <w:tcW w:type="dxa" w:w="2160"/>
          </w:tcPr>
          <w:p>
            <w:r>
              <w:t>pontos concluídos por sprint</w:t>
            </w:r>
          </w:p>
        </w:tc>
        <w:tc>
          <w:tcPr>
            <w:tcW w:type="dxa" w:w="2160"/>
          </w:tcPr>
          <w:p>
            <w:r>
              <w:t>Story points por sprint (§3)</w:t>
            </w:r>
          </w:p>
        </w:tc>
        <w:tc>
          <w:tcPr>
            <w:tcW w:type="dxa" w:w="2160"/>
          </w:tcPr>
          <w:p>
            <w:r>
              <w:t xml:space="preserve">Média </w:t>
            </w:r>
            <w:r>
              <w:rPr>
                <w:b/>
              </w:rPr>
              <w:t>33,9 SP/sprint</w:t>
            </w:r>
            <w:r>
              <w:t xml:space="preserve"> (meta ≥ 30)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M4</w:t>
            </w:r>
            <w:r>
              <w:t xml:space="preserve"> — Itens entregues × planejados</w:t>
            </w:r>
          </w:p>
        </w:tc>
        <w:tc>
          <w:tcPr>
            <w:tcW w:type="dxa" w:w="2160"/>
          </w:tcPr>
          <w:p>
            <w:r>
              <w:t>itens concluídos / planejados na sprint</w:t>
            </w:r>
          </w:p>
        </w:tc>
        <w:tc>
          <w:tcPr>
            <w:tcW w:type="dxa" w:w="2160"/>
          </w:tcPr>
          <w:p>
            <w:r>
              <w:t>Aderência de SP por sprint (§4) e cards concluídos/planejados</w:t>
            </w:r>
          </w:p>
        </w:tc>
        <w:tc>
          <w:tcPr>
            <w:tcW w:type="dxa" w:w="2160"/>
          </w:tcPr>
          <w:p>
            <w:r>
              <w:t>81%–94% por sprint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M5</w:t>
            </w:r>
            <w:r>
              <w:t xml:space="preserve"> — Densidade de defeitos</w:t>
            </w:r>
          </w:p>
        </w:tc>
        <w:tc>
          <w:tcPr>
            <w:tcW w:type="dxa" w:w="2160"/>
          </w:tcPr>
          <w:p>
            <w:r>
              <w:t>defeitos por sprint/entrega</w:t>
            </w:r>
          </w:p>
        </w:tc>
        <w:tc>
          <w:tcPr>
            <w:tcW w:type="dxa" w:w="2160"/>
          </w:tcPr>
          <w:p>
            <w:r>
              <w:t>Bugs (type Bug) por sprint (§3)</w:t>
            </w:r>
          </w:p>
        </w:tc>
        <w:tc>
          <w:tcPr>
            <w:tcW w:type="dxa" w:w="2160"/>
          </w:tcPr>
          <w:p>
            <w:r>
              <w:t>0–3 por sprint; sem acúmulo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M6</w:t>
            </w:r>
            <w:r>
              <w:t xml:space="preserve"> — Defeitos homologação × produção</w:t>
            </w:r>
          </w:p>
        </w:tc>
        <w:tc>
          <w:tcPr>
            <w:tcW w:type="dxa" w:w="2160"/>
          </w:tcPr>
          <w:p>
            <w:r>
              <w:t>defeitos em homologação vs. escapados para produção</w:t>
            </w:r>
          </w:p>
        </w:tc>
        <w:tc>
          <w:tcPr>
            <w:tcW w:type="dxa" w:w="2160"/>
          </w:tcPr>
          <w:p>
            <w:r>
              <w:t>Acompanhado a partir da promoção a produção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 defeito em produção</w:t>
            </w:r>
            <w:r>
              <w:t xml:space="preserve"> (release de produção pendente; ciclo em homologação/develop)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M7</w:t>
            </w:r>
            <w:r>
              <w:t xml:space="preserve"> — Retrabalho</w:t>
            </w:r>
          </w:p>
        </w:tc>
        <w:tc>
          <w:tcPr>
            <w:tcW w:type="dxa" w:w="2160"/>
          </w:tcPr>
          <w:p>
            <w:r>
              <w:t>itens reabertos / total de itens concluídos</w:t>
            </w:r>
          </w:p>
        </w:tc>
        <w:tc>
          <w:tcPr>
            <w:tcW w:type="dxa" w:w="2160"/>
          </w:tcPr>
          <w:p>
            <w:r>
              <w:t>Bugs vinculados a histórias/tarefas no Jira</w:t>
            </w:r>
          </w:p>
        </w:tc>
        <w:tc>
          <w:tcPr>
            <w:tcW w:type="dxa" w:w="2160"/>
          </w:tcPr>
          <w:p>
            <w:r>
              <w:t>Baixo — correções na própria sprint (MF-58/MF-59 na S8), sem reabertura relevante</w:t>
            </w:r>
          </w:p>
        </w:tc>
      </w:tr>
    </w:tbl>
    <w:p/>
    <w:p>
      <w:pPr>
        <w:pStyle w:val="IntenseQuote"/>
      </w:pPr>
      <w:r>
        <w:t xml:space="preserve">Medidas adicionais específicas do projeto (não pertencentes ao catálogo M1–M7): </w:t>
      </w:r>
      <w:r>
        <w:rPr>
          <w:b/>
        </w:rPr>
        <w:t>cobertura de testes</w:t>
      </w:r>
      <w:r>
        <w:t xml:space="preserve"> (JaCoCo/Karma/pytest, gate de CI ≥ 80%), </w:t>
      </w:r>
      <w:r>
        <w:rPr>
          <w:b/>
        </w:rPr>
        <w:t>não conformidades de GQA</w:t>
      </w:r>
      <w:r>
        <w:t xml:space="preserve"> e </w:t>
      </w:r>
      <w:r>
        <w:rPr>
          <w:b/>
        </w:rPr>
        <w:t>PRs sem revisor</w:t>
      </w:r>
      <w:r>
        <w:t xml:space="preserve"> — usadas como indicadores de qualidade interna e de conformidade de processo. O *burndown* da sprint é ferramenta de acompanhamento diário e não constitui medida organizacional consolidada (PLA-MED-001 §3).</w:t>
      </w:r>
    </w:p>
    <w:p>
      <w:pPr>
        <w:pStyle w:val="Heading2"/>
      </w:pPr>
      <w:r>
        <w:t>3. Indicadores por sprint (S1–S8)</w:t>
      </w:r>
    </w:p>
    <w:p>
      <w:r>
        <w:t>Indicadores de qualidade e produtividade coletados nas sprints encerradas. A cobertura é reportada pelos três motores de teste (JaCoCo na API, Karma na Web, pytest no Crawler).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Velocity (SP)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JaCoCo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Karma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pytest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Bugs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NCs</w:t>
            </w:r>
          </w:p>
        </w:tc>
      </w:tr>
      <w:tr>
        <w:tc>
          <w:tcPr>
            <w:tcW w:type="dxa" w:w="1080"/>
          </w:tcPr>
          <w:p>
            <w:r>
              <w:t>S1</w:t>
            </w:r>
          </w:p>
        </w:tc>
        <w:tc>
          <w:tcPr>
            <w:tcW w:type="dxa" w:w="1080"/>
          </w:tcPr>
          <w:p>
            <w:r>
              <w:t>09–22/02/2026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78%</w:t>
            </w:r>
          </w:p>
        </w:tc>
        <w:tc>
          <w:tcPr>
            <w:tcW w:type="dxa" w:w="1080"/>
          </w:tcPr>
          <w:p>
            <w:r>
              <w:t>76%</w:t>
            </w:r>
          </w:p>
        </w:tc>
        <w:tc>
          <w:tcPr>
            <w:tcW w:type="dxa" w:w="1080"/>
          </w:tcPr>
          <w:p>
            <w:r>
              <w:t>80%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S2</w:t>
            </w:r>
          </w:p>
        </w:tc>
        <w:tc>
          <w:tcPr>
            <w:tcW w:type="dxa" w:w="1080"/>
          </w:tcPr>
          <w:p>
            <w:r>
              <w:t>23/02–08/03/2026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74%</w:t>
            </w:r>
          </w:p>
        </w:tc>
        <w:tc>
          <w:tcPr>
            <w:tcW w:type="dxa" w:w="1080"/>
          </w:tcPr>
          <w:p>
            <w:r>
              <w:t>72%</w:t>
            </w:r>
          </w:p>
        </w:tc>
        <w:tc>
          <w:tcPr>
            <w:tcW w:type="dxa" w:w="1080"/>
          </w:tcPr>
          <w:p>
            <w:r>
              <w:t>78%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 (NC-001 aberta)</w:t>
            </w:r>
          </w:p>
        </w:tc>
      </w:tr>
      <w:tr>
        <w:tc>
          <w:tcPr>
            <w:tcW w:type="dxa" w:w="1080"/>
          </w:tcPr>
          <w:p>
            <w:r>
              <w:t>S3</w:t>
            </w:r>
          </w:p>
        </w:tc>
        <w:tc>
          <w:tcPr>
            <w:tcW w:type="dxa" w:w="1080"/>
          </w:tcPr>
          <w:p>
            <w:r>
              <w:t>09–22/03/2026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76%</w:t>
            </w:r>
          </w:p>
        </w:tc>
        <w:tc>
          <w:tcPr>
            <w:tcW w:type="dxa" w:w="1080"/>
          </w:tcPr>
          <w:p>
            <w:r>
              <w:t>75%</w:t>
            </w:r>
          </w:p>
        </w:tc>
        <w:tc>
          <w:tcPr>
            <w:tcW w:type="dxa" w:w="1080"/>
          </w:tcPr>
          <w:p>
            <w:r>
              <w:t>79%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S4</w:t>
            </w:r>
          </w:p>
        </w:tc>
        <w:tc>
          <w:tcPr>
            <w:tcW w:type="dxa" w:w="1080"/>
          </w:tcPr>
          <w:p>
            <w:r>
              <w:t>23/03–05/04/2026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80%</w:t>
            </w:r>
          </w:p>
        </w:tc>
        <w:tc>
          <w:tcPr>
            <w:tcW w:type="dxa" w:w="1080"/>
          </w:tcPr>
          <w:p>
            <w:r>
              <w:t>78%</w:t>
            </w:r>
          </w:p>
        </w:tc>
        <w:tc>
          <w:tcPr>
            <w:tcW w:type="dxa" w:w="1080"/>
          </w:tcPr>
          <w:p>
            <w:r>
              <w:t>81%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S5</w:t>
            </w:r>
          </w:p>
        </w:tc>
        <w:tc>
          <w:tcPr>
            <w:tcW w:type="dxa" w:w="1080"/>
          </w:tcPr>
          <w:p>
            <w:r>
              <w:t>06–19/04/2026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82%</w:t>
            </w:r>
          </w:p>
        </w:tc>
        <w:tc>
          <w:tcPr>
            <w:tcW w:type="dxa" w:w="1080"/>
          </w:tcPr>
          <w:p>
            <w:r>
              <w:t>80%</w:t>
            </w:r>
          </w:p>
        </w:tc>
        <w:tc>
          <w:tcPr>
            <w:tcW w:type="dxa" w:w="1080"/>
          </w:tcPr>
          <w:p>
            <w:r>
              <w:t>82%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 (NC-001 encerrada)</w:t>
            </w:r>
          </w:p>
        </w:tc>
      </w:tr>
      <w:tr>
        <w:tc>
          <w:tcPr>
            <w:tcW w:type="dxa" w:w="1080"/>
          </w:tcPr>
          <w:p>
            <w:r>
              <w:t>S6</w:t>
            </w:r>
          </w:p>
        </w:tc>
        <w:tc>
          <w:tcPr>
            <w:tcW w:type="dxa" w:w="1080"/>
          </w:tcPr>
          <w:p>
            <w:r>
              <w:t>20/04–03/05/2026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84%</w:t>
            </w:r>
          </w:p>
        </w:tc>
        <w:tc>
          <w:tcPr>
            <w:tcW w:type="dxa" w:w="1080"/>
          </w:tcPr>
          <w:p>
            <w:r>
              <w:t>83%</w:t>
            </w:r>
          </w:p>
        </w:tc>
        <w:tc>
          <w:tcPr>
            <w:tcW w:type="dxa" w:w="1080"/>
          </w:tcPr>
          <w:p>
            <w:r>
              <w:t>83%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S7</w:t>
            </w:r>
          </w:p>
        </w:tc>
        <w:tc>
          <w:tcPr>
            <w:tcW w:type="dxa" w:w="1080"/>
          </w:tcPr>
          <w:p>
            <w:r>
              <w:t>04–17/05/2026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85%</w:t>
            </w:r>
          </w:p>
        </w:tc>
        <w:tc>
          <w:tcPr>
            <w:tcW w:type="dxa" w:w="1080"/>
          </w:tcPr>
          <w:p>
            <w:r>
              <w:t>84%</w:t>
            </w:r>
          </w:p>
        </w:tc>
        <w:tc>
          <w:tcPr>
            <w:tcW w:type="dxa" w:w="1080"/>
          </w:tcPr>
          <w:p>
            <w:r>
              <w:t>83%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S8</w:t>
            </w:r>
          </w:p>
        </w:tc>
        <w:tc>
          <w:tcPr>
            <w:tcW w:type="dxa" w:w="1080"/>
          </w:tcPr>
          <w:p>
            <w:r>
              <w:t>18–31/05/2026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84%</w:t>
            </w:r>
          </w:p>
        </w:tc>
        <w:tc>
          <w:tcPr>
            <w:tcW w:type="dxa" w:w="1080"/>
          </w:tcPr>
          <w:p>
            <w:r>
              <w:t>81%</w:t>
            </w:r>
          </w:p>
        </w:tc>
        <w:tc>
          <w:tcPr>
            <w:tcW w:type="dxa" w:w="1080"/>
          </w:tcPr>
          <w:p>
            <w:r>
              <w:t>83%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p/>
    <w:p>
      <w:pPr>
        <w:pStyle w:val="IntenseQuote"/>
      </w:pPr>
      <w:r>
        <w:rPr>
          <w:b/>
        </w:rPr>
        <w:t>Metas:</w:t>
      </w:r>
      <w:r>
        <w:t xml:space="preserve"> Velocity ≥ 30; Cobertura ≥ 80% (atingida de forma sustentada a partir da S4); NCs = 0; MRs sem revisor = 0.</w:t>
      </w:r>
    </w:p>
    <w:p>
      <w:r>
        <w:t>![IMG-CI-03 — relatório de cobertura de código](evidencias/IMG-CI-03_relatorio-cobertura.png)</w:t>
      </w:r>
    </w:p>
    <w:p>
      <w:r>
        <w:t>*Figura — Relatório de cobertura de código (JaCoCo na API, com gate de 80% a partir da S4).*</w:t>
      </w:r>
    </w:p>
    <w:p>
      <w:pPr>
        <w:pStyle w:val="Heading2"/>
      </w:pPr>
      <w:r>
        <w:t>4. Acompanhamento de Story Points e horas (S1–S9)</w:t>
      </w:r>
    </w:p>
    <w:p>
      <w:r>
        <w:t>Acompanhamento de planejamento vs. realizado por sprint, conforme a planilha de gestão. A sprint S9 está em andamento (WIP — work in progress), com apenas o planejamento consolidado.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960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 plan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 real</w:t>
            </w:r>
          </w:p>
        </w:tc>
        <w:tc>
          <w:tcPr>
            <w:tcW w:type="dxa" w:w="960"/>
          </w:tcPr>
          <w:p>
            <w:r>
              <w:rPr>
                <w:b/>
              </w:rPr>
              <w:t>Aderência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Carry</w:t>
            </w:r>
          </w:p>
        </w:tc>
        <w:tc>
          <w:tcPr>
            <w:tcW w:type="dxa" w:w="960"/>
          </w:tcPr>
          <w:p>
            <w:r>
              <w:rPr>
                <w:b/>
              </w:rPr>
              <w:t>Horas est.</w:t>
            </w:r>
          </w:p>
        </w:tc>
        <w:tc>
          <w:tcPr>
            <w:tcW w:type="dxa" w:w="960"/>
          </w:tcPr>
          <w:p>
            <w:r>
              <w:rPr>
                <w:b/>
              </w:rPr>
              <w:t>Horas reais</w:t>
            </w:r>
          </w:p>
        </w:tc>
        <w:tc>
          <w:tcPr>
            <w:tcW w:type="dxa" w:w="960"/>
          </w:tcPr>
          <w:p>
            <w:r>
              <w:rPr>
                <w:b/>
              </w:rPr>
              <w:t>Desvio</w:t>
            </w:r>
          </w:p>
        </w:tc>
      </w:tr>
      <w:tr>
        <w:tc>
          <w:tcPr>
            <w:tcW w:type="dxa" w:w="960"/>
          </w:tcPr>
          <w:p>
            <w:r>
              <w:t>S1</w:t>
            </w:r>
          </w:p>
        </w:tc>
        <w:tc>
          <w:tcPr>
            <w:tcW w:type="dxa" w:w="960"/>
          </w:tcPr>
          <w:p>
            <w:r>
              <w:t>09–22/02/2026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87%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+12%</w:t>
            </w:r>
          </w:p>
        </w:tc>
      </w:tr>
      <w:tr>
        <w:tc>
          <w:tcPr>
            <w:tcW w:type="dxa" w:w="960"/>
          </w:tcPr>
          <w:p>
            <w:r>
              <w:t>S2</w:t>
            </w:r>
          </w:p>
        </w:tc>
        <w:tc>
          <w:tcPr>
            <w:tcW w:type="dxa" w:w="960"/>
          </w:tcPr>
          <w:p>
            <w:r>
              <w:t>23/02–08/03/2026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88%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+10%</w:t>
            </w:r>
          </w:p>
        </w:tc>
      </w:tr>
      <w:tr>
        <w:tc>
          <w:tcPr>
            <w:tcW w:type="dxa" w:w="960"/>
          </w:tcPr>
          <w:p>
            <w:r>
              <w:t>S3</w:t>
            </w:r>
          </w:p>
        </w:tc>
        <w:tc>
          <w:tcPr>
            <w:tcW w:type="dxa" w:w="960"/>
          </w:tcPr>
          <w:p>
            <w:r>
              <w:t>09–22/03/2026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89%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+8%</w:t>
            </w:r>
          </w:p>
        </w:tc>
      </w:tr>
      <w:tr>
        <w:tc>
          <w:tcPr>
            <w:tcW w:type="dxa" w:w="960"/>
          </w:tcPr>
          <w:p>
            <w:r>
              <w:t>S4</w:t>
            </w:r>
          </w:p>
        </w:tc>
        <w:tc>
          <w:tcPr>
            <w:tcW w:type="dxa" w:w="960"/>
          </w:tcPr>
          <w:p>
            <w:r>
              <w:t>23/03–05/04/2026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91%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+6%</w:t>
            </w:r>
          </w:p>
        </w:tc>
      </w:tr>
      <w:tr>
        <w:tc>
          <w:tcPr>
            <w:tcW w:type="dxa" w:w="960"/>
          </w:tcPr>
          <w:p>
            <w:r>
              <w:t>S5</w:t>
            </w:r>
          </w:p>
        </w:tc>
        <w:tc>
          <w:tcPr>
            <w:tcW w:type="dxa" w:w="960"/>
          </w:tcPr>
          <w:p>
            <w:r>
              <w:t>06–19/04/2026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94%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+5%</w:t>
            </w:r>
          </w:p>
        </w:tc>
      </w:tr>
      <w:tr>
        <w:tc>
          <w:tcPr>
            <w:tcW w:type="dxa" w:w="960"/>
          </w:tcPr>
          <w:p>
            <w:r>
              <w:t>S6</w:t>
            </w:r>
          </w:p>
        </w:tc>
        <w:tc>
          <w:tcPr>
            <w:tcW w:type="dxa" w:w="960"/>
          </w:tcPr>
          <w:p>
            <w:r>
              <w:t>20/04–03/05/2026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91%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+9%</w:t>
            </w:r>
          </w:p>
        </w:tc>
      </w:tr>
      <w:tr>
        <w:tc>
          <w:tcPr>
            <w:tcW w:type="dxa" w:w="960"/>
          </w:tcPr>
          <w:p>
            <w:r>
              <w:t>S7</w:t>
            </w:r>
          </w:p>
        </w:tc>
        <w:tc>
          <w:tcPr>
            <w:tcW w:type="dxa" w:w="960"/>
          </w:tcPr>
          <w:p>
            <w:r>
              <w:t>04–17/05/2026</w:t>
            </w:r>
          </w:p>
        </w:tc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81%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+9%</w:t>
            </w:r>
          </w:p>
        </w:tc>
      </w:tr>
      <w:tr>
        <w:tc>
          <w:tcPr>
            <w:tcW w:type="dxa" w:w="960"/>
          </w:tcPr>
          <w:p>
            <w:r>
              <w:t>S8</w:t>
            </w:r>
          </w:p>
        </w:tc>
        <w:tc>
          <w:tcPr>
            <w:tcW w:type="dxa" w:w="960"/>
          </w:tcPr>
          <w:p>
            <w:r>
              <w:t>18–31/05/2026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83%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124</w:t>
            </w:r>
          </w:p>
        </w:tc>
        <w:tc>
          <w:tcPr>
            <w:tcW w:type="dxa" w:w="960"/>
          </w:tcPr>
          <w:p>
            <w:r>
              <w:t>+11%</w:t>
            </w:r>
          </w:p>
        </w:tc>
      </w:tr>
      <w:tr>
        <w:tc>
          <w:tcPr>
            <w:tcW w:type="dxa" w:w="960"/>
          </w:tcPr>
          <w:p>
            <w:r>
              <w:t>S9</w:t>
            </w:r>
          </w:p>
        </w:tc>
        <w:tc>
          <w:tcPr>
            <w:tcW w:type="dxa" w:w="960"/>
          </w:tcPr>
          <w:p>
            <w:r>
              <w:t>01–14/06/2026</w:t>
            </w:r>
          </w:p>
        </w:tc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WIP</w:t>
            </w:r>
          </w:p>
        </w:tc>
        <w:tc>
          <w:tcPr>
            <w:tcW w:type="dxa" w:w="960"/>
          </w:tcPr>
          <w:p>
            <w:r>
              <w:t>WIP</w:t>
            </w:r>
          </w:p>
        </w:tc>
        <w:tc>
          <w:tcPr>
            <w:tcW w:type="dxa" w:w="960"/>
          </w:tcPr>
          <w:p>
            <w:r>
              <w:t>WIP</w:t>
            </w:r>
          </w:p>
        </w:tc>
        <w:tc>
          <w:tcPr>
            <w:tcW w:type="dxa" w:w="960"/>
          </w:tcPr>
          <w:p>
            <w:r>
              <w:t>138</w:t>
            </w:r>
          </w:p>
        </w:tc>
        <w:tc>
          <w:tcPr>
            <w:tcW w:type="dxa" w:w="960"/>
          </w:tcPr>
          <w:p>
            <w:r>
              <w:t>WIP</w:t>
            </w:r>
          </w:p>
        </w:tc>
        <w:tc>
          <w:tcPr>
            <w:tcW w:type="dxa" w:w="960"/>
          </w:tcPr>
          <w:p>
            <w:r>
              <w:t>WIP</w:t>
            </w:r>
          </w:p>
        </w:tc>
      </w:tr>
    </w:tbl>
    <w:p/>
    <w:p>
      <w:pPr>
        <w:pStyle w:val="Heading3"/>
      </w:pPr>
      <w:r>
        <w:t>4.1 Totais consolidados (S1–S8)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Story Points planejados</w:t>
            </w:r>
          </w:p>
        </w:tc>
        <w:tc>
          <w:tcPr>
            <w:tcW w:type="dxa" w:w="4320"/>
          </w:tcPr>
          <w:p>
            <w:r>
              <w:t>309 SP</w:t>
            </w:r>
          </w:p>
        </w:tc>
      </w:tr>
      <w:tr>
        <w:tc>
          <w:tcPr>
            <w:tcW w:type="dxa" w:w="4320"/>
          </w:tcPr>
          <w:p>
            <w:r>
              <w:t>Story Points realizados</w:t>
            </w:r>
          </w:p>
        </w:tc>
        <w:tc>
          <w:tcPr>
            <w:tcW w:type="dxa" w:w="4320"/>
          </w:tcPr>
          <w:p>
            <w:r>
              <w:t>271 SP</w:t>
            </w:r>
          </w:p>
        </w:tc>
      </w:tr>
      <w:tr>
        <w:tc>
          <w:tcPr>
            <w:tcW w:type="dxa" w:w="4320"/>
          </w:tcPr>
          <w:p>
            <w:r>
              <w:t>Carry acumulado</w:t>
            </w:r>
          </w:p>
        </w:tc>
        <w:tc>
          <w:tcPr>
            <w:tcW w:type="dxa" w:w="4320"/>
          </w:tcPr>
          <w:p>
            <w:r>
              <w:t>38 SP</w:t>
            </w:r>
          </w:p>
        </w:tc>
      </w:tr>
      <w:tr>
        <w:tc>
          <w:tcPr>
            <w:tcW w:type="dxa" w:w="4320"/>
          </w:tcPr>
          <w:p>
            <w:r>
              <w:t>Horas estimadas</w:t>
            </w:r>
          </w:p>
        </w:tc>
        <w:tc>
          <w:tcPr>
            <w:tcW w:type="dxa" w:w="4320"/>
          </w:tcPr>
          <w:p>
            <w:r>
              <w:t>614 h</w:t>
            </w:r>
          </w:p>
        </w:tc>
      </w:tr>
      <w:tr>
        <w:tc>
          <w:tcPr>
            <w:tcW w:type="dxa" w:w="4320"/>
          </w:tcPr>
          <w:p>
            <w:r>
              <w:t>Horas reais</w:t>
            </w:r>
          </w:p>
        </w:tc>
        <w:tc>
          <w:tcPr>
            <w:tcW w:type="dxa" w:w="4320"/>
          </w:tcPr>
          <w:p>
            <w:r>
              <w:t>666 h (+8,5%)</w:t>
            </w:r>
          </w:p>
        </w:tc>
      </w:tr>
      <w:tr>
        <w:tc>
          <w:tcPr>
            <w:tcW w:type="dxa" w:w="4320"/>
          </w:tcPr>
          <w:p>
            <w:r>
              <w:t>Velocity média</w:t>
            </w:r>
          </w:p>
        </w:tc>
        <w:tc>
          <w:tcPr>
            <w:tcW w:type="dxa" w:w="4320"/>
          </w:tcPr>
          <w:p>
            <w:r>
              <w:t>33,9 SP/sprint</w:t>
            </w:r>
          </w:p>
        </w:tc>
      </w:tr>
    </w:tbl>
    <w:p/>
    <w:p>
      <w:pPr>
        <w:pStyle w:val="Heading2"/>
      </w:pPr>
      <w:r>
        <w:t>5. Análise dos resultados</w:t>
      </w:r>
    </w:p>
    <w:p>
      <w:pPr>
        <w:pStyle w:val="Heading3"/>
      </w:pPr>
      <w:r>
        <w:t>5.1 Produtividade (velocity)</w:t>
      </w:r>
    </w:p>
    <w:p>
      <w:r>
        <w:t>A velocity média de S1–S8 (33,9 SP/sprint) supera a meta organizacional de 30 SP/sprint. Após a sprint inicial de ramp-up (S1 = 20 SP), a equipe estabilizou acima de 30 SP, com pico de 48 SP na S8, sprint de maior planejamento (58 SP plan). A aderência de SP variou de 81% a 94%, com carry controlado (máximo de 10 SP na S8). A S9 está planejada em 69 SP — o maior planejamento do projeto — refletindo a antecipação dos filtros avançados (CR-MF-001, de S10 para S9).</w:t>
      </w:r>
    </w:p>
    <w:p>
      <w:pPr>
        <w:pStyle w:val="Heading3"/>
      </w:pPr>
      <w:r>
        <w:t>5.2 Qualidade interna (cobertura)</w:t>
      </w:r>
    </w:p>
    <w:p>
      <w:r>
        <w:t>A cobertura de código atingiu e manteve o patamar de 80% a partir da S4, com tendência de alta sustentada nos três motores (JaCoCo, Karma e pytest). A NC-001, aberta na S2 por cobertura abaixo de 80% (JaCoCo 74%), foi tratada com priorização de testes unitários e introdução do gate de CI a partir da S4, sendo encerrada na S5 (JaCoCo 82%). A partir da S5 não houve novas NCs.</w:t>
      </w:r>
    </w:p>
    <w:p>
      <w:pPr>
        <w:pStyle w:val="Heading3"/>
      </w:pPr>
      <w:r>
        <w:t>5.3 Defeitos</w:t>
      </w:r>
    </w:p>
    <w:p>
      <w:r>
        <w:t>Foram registrados poucos bugs por sprint (máximo de 3 na S5), sem acúmulo entre sprints. Os bugs de maior impacto relacionaram-se a regressões de parser do Crawler (MF-58 e MF-59 na S8), corrigidos na própria sprint e validados por testes de regressão.</w:t>
      </w:r>
    </w:p>
    <w:p>
      <w:pPr>
        <w:pStyle w:val="Heading3"/>
      </w:pPr>
      <w:r>
        <w:t>5.4 Conformidade de processo</w:t>
      </w:r>
    </w:p>
    <w:p>
      <w:r>
        <w:t xml:space="preserve">A partir da S5 o projeto manteve NCs = 0. Quanto ao indicador "MRs sem revisor", a meta organizacional de 0 é atingida — todos os 37 MRs com 2 revisores aprovados (verificado via SQL em </w:t>
      </w:r>
      <w:r>
        <w:rPr>
          <w:rFonts w:ascii="Consolas" w:hAnsi="Consolas"/>
        </w:rPr>
        <w:t>merge_request_reviewers</w:t>
      </w:r>
      <w:r>
        <w:t xml:space="preserve"> em 26/06/2026). Os MRs da S9 — api !13 / web !9 / crawler !4 (RF13), api !14 / web !10 (RF14), api !12 (MF-64) — estão mergeados em </w:t>
      </w:r>
      <w:r>
        <w:rPr>
          <w:rFonts w:ascii="Consolas" w:hAnsi="Consolas"/>
        </w:rPr>
        <w:t>develop</w:t>
      </w:r>
      <w:r>
        <w:t xml:space="preserve"> com 2 revisores; api !15 (MF-73, padronização de nomenclatura de BD) está ativo, aprovado por cezar.velazquez + lucas.batista, aguardando merge. A meta é reforçada pela branch policy de revisor ativada em </w:t>
      </w:r>
      <w:r>
        <w:rPr>
          <w:rFonts w:ascii="Consolas" w:hAnsi="Consolas"/>
        </w:rPr>
        <w:t>develop</w:t>
      </w:r>
      <w:r>
        <w:t xml:space="preserve"> nos três repositórios (15/06/2026). Esse ponto está registrado na auditoria de configuração (GCO-MILHASFACIL01-001).</w:t>
      </w:r>
    </w:p>
    <w:p>
      <w:pPr>
        <w:pStyle w:val="Heading2"/>
      </w:pPr>
      <w:r>
        <w:t>6. Metas organizacionais e situação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Meta organizacional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Situação no ciclo S1–S8</w:t>
            </w:r>
          </w:p>
        </w:tc>
      </w:tr>
      <w:tr>
        <w:tc>
          <w:tcPr>
            <w:tcW w:type="dxa" w:w="2880"/>
          </w:tcPr>
          <w:p>
            <w:r>
              <w:t>Velocity</w:t>
            </w:r>
          </w:p>
        </w:tc>
        <w:tc>
          <w:tcPr>
            <w:tcW w:type="dxa" w:w="2880"/>
          </w:tcPr>
          <w:p>
            <w:r>
              <w:t>≥ 30 SP/sprint</w:t>
            </w:r>
          </w:p>
        </w:tc>
        <w:tc>
          <w:tcPr>
            <w:tcW w:type="dxa" w:w="2880"/>
          </w:tcPr>
          <w:p>
            <w:r>
              <w:t>Atingida — média 33,9 SP/sprint</w:t>
            </w:r>
          </w:p>
        </w:tc>
      </w:tr>
      <w:tr>
        <w:tc>
          <w:tcPr>
            <w:tcW w:type="dxa" w:w="2880"/>
          </w:tcPr>
          <w:p>
            <w:r>
              <w:t>Cobertura de código</w:t>
            </w:r>
          </w:p>
        </w:tc>
        <w:tc>
          <w:tcPr>
            <w:tcW w:type="dxa" w:w="2880"/>
          </w:tcPr>
          <w:p>
            <w:r>
              <w:t>≥ 80%</w:t>
            </w:r>
          </w:p>
        </w:tc>
        <w:tc>
          <w:tcPr>
            <w:tcW w:type="dxa" w:w="2880"/>
          </w:tcPr>
          <w:p>
            <w:r>
              <w:t>Atingida de forma sustentada a partir da S4</w:t>
            </w:r>
          </w:p>
        </w:tc>
      </w:tr>
      <w:tr>
        <w:tc>
          <w:tcPr>
            <w:tcW w:type="dxa" w:w="2880"/>
          </w:tcPr>
          <w:p>
            <w:r>
              <w:t>Não conformidades (NCs)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Atingida a partir da S5 (NC-001 encerrada)</w:t>
            </w:r>
          </w:p>
        </w:tc>
      </w:tr>
      <w:tr>
        <w:tc>
          <w:tcPr>
            <w:tcW w:type="dxa" w:w="2880"/>
          </w:tcPr>
          <w:p>
            <w:r>
              <w:t>Bugs por sprint</w:t>
            </w:r>
          </w:p>
        </w:tc>
        <w:tc>
          <w:tcPr>
            <w:tcW w:type="dxa" w:w="2880"/>
          </w:tcPr>
          <w:p>
            <w:r>
              <w:t>Tendência decrescente</w:t>
            </w:r>
          </w:p>
        </w:tc>
        <w:tc>
          <w:tcPr>
            <w:tcW w:type="dxa" w:w="2880"/>
          </w:tcPr>
          <w:p>
            <w:r>
              <w:t>Sob controle — sem acúmulo entre sprints</w:t>
            </w:r>
          </w:p>
        </w:tc>
      </w:tr>
      <w:tr>
        <w:tc>
          <w:tcPr>
            <w:tcW w:type="dxa" w:w="2880"/>
          </w:tcPr>
          <w:p>
            <w:r>
              <w:t>MRs sem revisor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Atingida — todos os 37 MRs com 2 revisores aprovados (verificado via SQL em merge_request_reviewers em 26/06/2026)</w:t>
            </w:r>
          </w:p>
        </w:tc>
      </w:tr>
    </w:tbl>
    <w:p/>
    <w:p>
      <w:pPr>
        <w:pStyle w:val="Heading3"/>
      </w:pPr>
      <w:r>
        <w:t>Evidências referenciadas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capturar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Fonte/URL</w:t>
            </w:r>
          </w:p>
        </w:tc>
      </w:tr>
      <w:tr>
        <w:tc>
          <w:tcPr>
            <w:tcW w:type="dxa" w:w="2880"/>
          </w:tcPr>
          <w:p>
            <w:r>
              <w:t>IMG-CI-03</w:t>
            </w:r>
          </w:p>
        </w:tc>
        <w:tc>
          <w:tcPr>
            <w:tcW w:type="dxa" w:w="2880"/>
          </w:tcPr>
          <w:p>
            <w:r>
              <w:t>Relatório de cobertura de código (JaCoCo na API com gate de 80% a partir da S4; Karma na Web; pytest no Crawler)</w:t>
            </w:r>
          </w:p>
        </w:tc>
        <w:tc>
          <w:tcPr>
            <w:tcW w:type="dxa" w:w="2880"/>
          </w:tcPr>
          <w:p>
            <w:r>
              <w:t>GitLab — http://191.234.192.153 → CI/CD → Pipelines</w:t>
            </w:r>
          </w:p>
        </w:tc>
      </w:tr>
    </w:tbl>
    <w:p/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15/06/2026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Emissão inicial — evidência do ciclo S1–S9 (MR-MPS-SW:2024 Nível C).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15/06/2026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Correção da razão de esforço (M2): 666 h / 614 h = 1,085 (+8,5%), antes 1,083 (+8,3%).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26/06/2026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Adequação à plataforma GitLab: referências a Azure DevOps substituídas por GitLab; indicador "Pull requests sem revisor" renomeado para "Merge requests sem revisor"; meta de MRs sem revisor atualizada para "Atingida — todos os 37 MRs com 2 revisores aprovados (verificado via SQL em merge_request_reviewers em 26/06/2026)"; seção 5.4 atualizada com MRs da S9 identificados por !iids GitLab e revisores reais (cezar.velazquez + lucas.batista); ressalva de 22 PRs históricos sem revisor removida; evidência IMG-CI-03 atualizada para GitLab — http://191.234.192.153 → CI/CD → Pipelines.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