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Relatório de Acompanhamento — MilhasFacil · Busca de Milhas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RAC-MILHASFACIL01-001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Código do projeto</w:t>
            </w:r>
          </w:p>
        </w:tc>
        <w:tc>
          <w:tcPr>
            <w:tcW w:type="dxa" w:w="4320"/>
          </w:tcPr>
          <w:p>
            <w:r>
              <w:t>MILHASFACIL01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26/06/2026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Situação</w:t>
            </w:r>
          </w:p>
        </w:tc>
        <w:tc>
          <w:tcPr>
            <w:tcW w:type="dxa" w:w="4320"/>
          </w:tcPr>
          <w:p>
            <w:r>
              <w:t>Aprovado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Gerente de Projeto</w:t>
            </w:r>
          </w:p>
        </w:tc>
        <w:tc>
          <w:tcPr>
            <w:tcW w:type="dxa" w:w="4320"/>
          </w:tcPr>
          <w:p>
            <w:r>
              <w:t>Abraão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Tech Lead / Arquiteto / DevOps</w:t>
            </w:r>
          </w:p>
        </w:tc>
        <w:tc>
          <w:tcPr>
            <w:tcW w:type="dxa" w:w="4320"/>
          </w:tcPr>
          <w:p>
            <w:r>
              <w:t>Cézar Velazquez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Processo MPS-SW</w:t>
            </w:r>
          </w:p>
        </w:tc>
        <w:tc>
          <w:tcPr>
            <w:tcW w:type="dxa" w:w="4320"/>
          </w:tcPr>
          <w:p>
            <w:r>
              <w:t>GPR</w:t>
            </w:r>
          </w:p>
        </w:tc>
      </w:tr>
    </w:tbl>
    <w:p/>
    <w:p>
      <w:pPr>
        <w:pStyle w:val="Heading2"/>
      </w:pPr>
      <w:r>
        <w:t>1. Situação geral</w:t>
      </w:r>
    </w:p>
    <w:p>
      <w:r>
        <w:t xml:space="preserve">Projeto </w:t>
      </w:r>
      <w:r>
        <w:rPr>
          <w:b/>
        </w:rPr>
        <w:t>em andamento e sob controle</w:t>
      </w:r>
      <w:r>
        <w:t xml:space="preserve">: Sprint 10 de 12 dentro da janela do cronograma (09/02–26/07/2026), com a release v0.9.0 promovida a </w:t>
      </w:r>
      <w:r>
        <w:rPr>
          <w:rFonts w:ascii="Consolas" w:hAnsi="Consolas"/>
        </w:rPr>
        <w:t>main</w:t>
      </w:r>
      <w:r>
        <w:t xml:space="preserve"> (RF13/RF14/MF-64 entregues) e o único change request do período (CR-MF-001) absorvido sem atraso macro.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Dimensão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Comentário (1 linha)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Prazo</w:t>
            </w:r>
          </w:p>
        </w:tc>
        <w:tc>
          <w:tcPr>
            <w:tcW w:type="dxa" w:w="2880"/>
          </w:tcPr>
          <w:p>
            <w:r>
              <w:t>🟢 No prazo</w:t>
            </w:r>
          </w:p>
        </w:tc>
        <w:tc>
          <w:tcPr>
            <w:tcW w:type="dxa" w:w="2880"/>
          </w:tcPr>
          <w:p>
            <w:r>
              <w:t>Sprint 10 de 12 dentro da janela 09/02–26/07/2026; sem atraso macro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Escopo</w:t>
            </w:r>
          </w:p>
        </w:tc>
        <w:tc>
          <w:tcPr>
            <w:tcW w:type="dxa" w:w="2880"/>
          </w:tcPr>
          <w:p>
            <w:r>
              <w:t>🟡 Em mudança</w:t>
            </w:r>
          </w:p>
        </w:tc>
        <w:tc>
          <w:tcPr>
            <w:tcW w:type="dxa" w:w="2880"/>
          </w:tcPr>
          <w:p>
            <w:r>
              <w:t>CR-MF-001 absorvido na S9 (+10 h, antecipação de RF13 de S10→S9), sem atraso macro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Risco</w:t>
            </w:r>
          </w:p>
        </w:tc>
        <w:tc>
          <w:tcPr>
            <w:tcW w:type="dxa" w:w="2880"/>
          </w:tcPr>
          <w:p>
            <w:r>
              <w:t>🟢 Sob controle</w:t>
            </w:r>
          </w:p>
        </w:tc>
        <w:tc>
          <w:tcPr>
            <w:tcW w:type="dxa" w:w="2880"/>
          </w:tcPr>
          <w:p>
            <w:r>
              <w:t>R-01 e R-02 materializados e tratados (encerrados); R-03 (Z-API) mantido como best-effort com fallback por e-mail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Qualidade</w:t>
            </w:r>
          </w:p>
        </w:tc>
        <w:tc>
          <w:tcPr>
            <w:tcW w:type="dxa" w:w="2880"/>
          </w:tcPr>
          <w:p>
            <w:r>
              <w:t>🟢 Dentro do esperado</w:t>
            </w:r>
          </w:p>
        </w:tc>
        <w:tc>
          <w:tcPr>
            <w:tcW w:type="dxa" w:w="2880"/>
          </w:tcPr>
          <w:p>
            <w:r>
              <w:t>Cobertura JaCoCo 82%+ desde a S5, com gate de CI ≥80% ativo desde a S4; NC-001 encerrada</w:t>
            </w:r>
          </w:p>
        </w:tc>
      </w:tr>
    </w:tbl>
    <w:p/>
    <w:p>
      <w:pPr>
        <w:pStyle w:val="IntenseQuote"/>
      </w:pPr>
      <w:r>
        <w:t>*Convenção de cores:* 🟢 sem ação necessária · 🟡 sob acompanhamento, ação em curso · 🔴 exige decisão/atenção do cliente.</w:t>
      </w:r>
    </w:p>
    <w:p>
      <w:pPr>
        <w:pStyle w:val="Heading2"/>
      </w:pPr>
      <w:r>
        <w:t>2. Objetivo</w:t>
      </w:r>
    </w:p>
    <w:p>
      <w:r>
        <w:t>Monitorar o progresso do projeto MilhasFacil em relação ao plano estabelecido (</w:t>
      </w:r>
      <w:r>
        <w:rPr>
          <w:rFonts w:ascii="Consolas" w:hAnsi="Consolas"/>
        </w:rPr>
        <w:t>PLA-MILHASFACIL01-001</w:t>
      </w:r>
      <w:r>
        <w:t xml:space="preserve">), identificar desvios de prazo, escopo, esforço e qualidade por sprint, e registrar a situação atual. Este relatório consolida os snapshots de acompanhamento das Sprints S1 a S9 e serve como evidência do processo GPR (Gerência de Projeto). A fonte da verdade de gestão é a planilha </w:t>
      </w:r>
      <w:r>
        <w:rPr>
          <w:rFonts w:ascii="Consolas" w:hAnsi="Consolas"/>
        </w:rPr>
        <w:t>GEST-MILHASFACIL01-001</w:t>
      </w:r>
      <w:r>
        <w:t>.</w:t>
      </w:r>
    </w:p>
    <w:p>
      <w:pPr>
        <w:pStyle w:val="Heading2"/>
      </w:pPr>
      <w:r>
        <w:t>3. Acompanhamento por sprint (S1–S9)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864"/>
          </w:tcPr>
          <w:p>
            <w:r>
              <w:rPr>
                <w:b/>
              </w:rPr>
              <w:t>Período</w:t>
            </w:r>
          </w:p>
        </w:tc>
        <w:tc>
          <w:tcPr>
            <w:tcW w:type="dxa" w:w="864"/>
          </w:tcPr>
          <w:p>
            <w:r>
              <w:rPr>
                <w:b/>
              </w:rPr>
              <w:t>SP plan</w:t>
            </w:r>
          </w:p>
        </w:tc>
        <w:tc>
          <w:tcPr>
            <w:tcW w:type="dxa" w:w="864"/>
          </w:tcPr>
          <w:p>
            <w:r>
              <w:rPr>
                <w:b/>
              </w:rPr>
              <w:t>SP real</w:t>
            </w:r>
          </w:p>
        </w:tc>
        <w:tc>
          <w:tcPr>
            <w:tcW w:type="dxa" w:w="864"/>
          </w:tcPr>
          <w:p>
            <w:r>
              <w:rPr>
                <w:b/>
              </w:rPr>
              <w:t>Aderência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Carry</w:t>
            </w:r>
          </w:p>
        </w:tc>
        <w:tc>
          <w:tcPr>
            <w:tcW w:type="dxa" w:w="864"/>
          </w:tcPr>
          <w:p>
            <w:r>
              <w:rPr>
                <w:b/>
              </w:rPr>
              <w:t>h_est</w:t>
            </w:r>
          </w:p>
        </w:tc>
        <w:tc>
          <w:tcPr>
            <w:tcW w:type="dxa" w:w="864"/>
          </w:tcPr>
          <w:p>
            <w:r>
              <w:rPr>
                <w:b/>
              </w:rPr>
              <w:t>h_real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Desvio h</w:t>
            </w:r>
          </w:p>
        </w:tc>
        <w:tc>
          <w:tcPr>
            <w:tcW w:type="dxa" w:w="864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864"/>
          </w:tcPr>
          <w:p>
            <w:r>
              <w:t>S1</w:t>
            </w:r>
          </w:p>
        </w:tc>
        <w:tc>
          <w:tcPr>
            <w:tcW w:type="dxa" w:w="864"/>
          </w:tcPr>
          <w:p>
            <w:r>
              <w:t>09–22/02/2026</w:t>
            </w:r>
          </w:p>
        </w:tc>
        <w:tc>
          <w:tcPr>
            <w:tcW w:type="dxa" w:w="864"/>
          </w:tcPr>
          <w:p>
            <w:r>
              <w:t>23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87%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+12%</w:t>
            </w:r>
          </w:p>
        </w:tc>
        <w:tc>
          <w:tcPr>
            <w:tcW w:type="dxa" w:w="864"/>
          </w:tcPr>
          <w:p>
            <w:r>
              <w:t>Concluída</w:t>
            </w:r>
          </w:p>
        </w:tc>
      </w:tr>
      <w:tr>
        <w:tc>
          <w:tcPr>
            <w:tcW w:type="dxa" w:w="864"/>
          </w:tcPr>
          <w:p>
            <w:r>
              <w:t>S2</w:t>
            </w:r>
          </w:p>
        </w:tc>
        <w:tc>
          <w:tcPr>
            <w:tcW w:type="dxa" w:w="864"/>
          </w:tcPr>
          <w:p>
            <w:r>
              <w:t>23/02–08/03/2026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88%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+10%</w:t>
            </w:r>
          </w:p>
        </w:tc>
        <w:tc>
          <w:tcPr>
            <w:tcW w:type="dxa" w:w="864"/>
          </w:tcPr>
          <w:p>
            <w:r>
              <w:t>Concluída</w:t>
            </w:r>
          </w:p>
        </w:tc>
      </w:tr>
      <w:tr>
        <w:tc>
          <w:tcPr>
            <w:tcW w:type="dxa" w:w="864"/>
          </w:tcPr>
          <w:p>
            <w:r>
              <w:t>S3</w:t>
            </w:r>
          </w:p>
        </w:tc>
        <w:tc>
          <w:tcPr>
            <w:tcW w:type="dxa" w:w="864"/>
          </w:tcPr>
          <w:p>
            <w:r>
              <w:t>09–22/03/2026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89%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+8%</w:t>
            </w:r>
          </w:p>
        </w:tc>
        <w:tc>
          <w:tcPr>
            <w:tcW w:type="dxa" w:w="864"/>
          </w:tcPr>
          <w:p>
            <w:r>
              <w:t>Concluída</w:t>
            </w:r>
          </w:p>
        </w:tc>
      </w:tr>
      <w:tr>
        <w:tc>
          <w:tcPr>
            <w:tcW w:type="dxa" w:w="864"/>
          </w:tcPr>
          <w:p>
            <w:r>
              <w:t>S4</w:t>
            </w:r>
          </w:p>
        </w:tc>
        <w:tc>
          <w:tcPr>
            <w:tcW w:type="dxa" w:w="864"/>
          </w:tcPr>
          <w:p>
            <w:r>
              <w:t>23/03–05/04/2026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91%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+6%</w:t>
            </w:r>
          </w:p>
        </w:tc>
        <w:tc>
          <w:tcPr>
            <w:tcW w:type="dxa" w:w="864"/>
          </w:tcPr>
          <w:p>
            <w:r>
              <w:t>Concluída</w:t>
            </w:r>
          </w:p>
        </w:tc>
      </w:tr>
      <w:tr>
        <w:tc>
          <w:tcPr>
            <w:tcW w:type="dxa" w:w="864"/>
          </w:tcPr>
          <w:p>
            <w:r>
              <w:t>S5</w:t>
            </w:r>
          </w:p>
        </w:tc>
        <w:tc>
          <w:tcPr>
            <w:tcW w:type="dxa" w:w="864"/>
          </w:tcPr>
          <w:p>
            <w:r>
              <w:t>06–19/04/2026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94%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+5%</w:t>
            </w:r>
          </w:p>
        </w:tc>
        <w:tc>
          <w:tcPr>
            <w:tcW w:type="dxa" w:w="864"/>
          </w:tcPr>
          <w:p>
            <w:r>
              <w:t>Concluída</w:t>
            </w:r>
          </w:p>
        </w:tc>
      </w:tr>
      <w:tr>
        <w:tc>
          <w:tcPr>
            <w:tcW w:type="dxa" w:w="864"/>
          </w:tcPr>
          <w:p>
            <w:r>
              <w:t>S6</w:t>
            </w:r>
          </w:p>
        </w:tc>
        <w:tc>
          <w:tcPr>
            <w:tcW w:type="dxa" w:w="864"/>
          </w:tcPr>
          <w:p>
            <w:r>
              <w:t>20/04–03/05/2026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91%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+9%</w:t>
            </w:r>
          </w:p>
        </w:tc>
        <w:tc>
          <w:tcPr>
            <w:tcW w:type="dxa" w:w="864"/>
          </w:tcPr>
          <w:p>
            <w:r>
              <w:t>Concluída</w:t>
            </w:r>
          </w:p>
        </w:tc>
      </w:tr>
      <w:tr>
        <w:tc>
          <w:tcPr>
            <w:tcW w:type="dxa" w:w="864"/>
          </w:tcPr>
          <w:p>
            <w:r>
              <w:t>S7</w:t>
            </w:r>
          </w:p>
        </w:tc>
        <w:tc>
          <w:tcPr>
            <w:tcW w:type="dxa" w:w="864"/>
          </w:tcPr>
          <w:p>
            <w:r>
              <w:t>04–17/05/2026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81%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+9%</w:t>
            </w:r>
          </w:p>
        </w:tc>
        <w:tc>
          <w:tcPr>
            <w:tcW w:type="dxa" w:w="864"/>
          </w:tcPr>
          <w:p>
            <w:r>
              <w:t>Concluída</w:t>
            </w:r>
          </w:p>
        </w:tc>
      </w:tr>
      <w:tr>
        <w:tc>
          <w:tcPr>
            <w:tcW w:type="dxa" w:w="864"/>
          </w:tcPr>
          <w:p>
            <w:r>
              <w:t>S8</w:t>
            </w:r>
          </w:p>
        </w:tc>
        <w:tc>
          <w:tcPr>
            <w:tcW w:type="dxa" w:w="864"/>
          </w:tcPr>
          <w:p>
            <w:r>
              <w:t>18–31/05/2026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83%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124</w:t>
            </w:r>
          </w:p>
        </w:tc>
        <w:tc>
          <w:tcPr>
            <w:tcW w:type="dxa" w:w="864"/>
          </w:tcPr>
          <w:p>
            <w:r>
              <w:t>+11%</w:t>
            </w:r>
          </w:p>
        </w:tc>
        <w:tc>
          <w:tcPr>
            <w:tcW w:type="dxa" w:w="864"/>
          </w:tcPr>
          <w:p>
            <w:r>
              <w:t>Concluída</w:t>
            </w:r>
          </w:p>
        </w:tc>
      </w:tr>
      <w:tr>
        <w:tc>
          <w:tcPr>
            <w:tcW w:type="dxa" w:w="864"/>
          </w:tcPr>
          <w:p>
            <w:r>
              <w:t>S9</w:t>
            </w:r>
          </w:p>
        </w:tc>
        <w:tc>
          <w:tcPr>
            <w:tcW w:type="dxa" w:w="864"/>
          </w:tcPr>
          <w:p>
            <w:r>
              <w:t>01–14/06/2026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91%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138</w:t>
            </w:r>
          </w:p>
        </w:tc>
        <w:tc>
          <w:tcPr>
            <w:tcW w:type="dxa" w:w="864"/>
          </w:tcPr>
          <w:p>
            <w:r>
              <w:t>148</w:t>
            </w:r>
          </w:p>
        </w:tc>
        <w:tc>
          <w:tcPr>
            <w:tcW w:type="dxa" w:w="864"/>
          </w:tcPr>
          <w:p>
            <w:r>
              <w:t>+7%</w:t>
            </w:r>
          </w:p>
        </w:tc>
        <w:tc>
          <w:tcPr>
            <w:tcW w:type="dxa" w:w="864"/>
          </w:tcPr>
          <w:p>
            <w:r>
              <w:t>Concluída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  <w:t>Total S1–S9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>
            <w:r>
              <w:rPr>
                <w:b/>
              </w:rPr>
              <w:t>378</w:t>
            </w:r>
          </w:p>
        </w:tc>
        <w:tc>
          <w:tcPr>
            <w:tcW w:type="dxa" w:w="864"/>
          </w:tcPr>
          <w:p>
            <w:r>
              <w:rPr>
                <w:b/>
              </w:rPr>
              <w:t>334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>
            <w:r>
              <w:rPr>
                <w:b/>
              </w:rPr>
              <w:t>44</w:t>
            </w:r>
          </w:p>
        </w:tc>
        <w:tc>
          <w:tcPr>
            <w:tcW w:type="dxa" w:w="864"/>
          </w:tcPr>
          <w:p>
            <w:r>
              <w:rPr>
                <w:b/>
              </w:rPr>
              <w:t>752</w:t>
            </w:r>
          </w:p>
        </w:tc>
        <w:tc>
          <w:tcPr>
            <w:tcW w:type="dxa" w:w="864"/>
          </w:tcPr>
          <w:p>
            <w:r>
              <w:rPr>
                <w:b/>
              </w:rPr>
              <w:t>814</w:t>
            </w:r>
          </w:p>
        </w:tc>
        <w:tc>
          <w:tcPr>
            <w:tcW w:type="dxa" w:w="864"/>
          </w:tcPr>
          <w:p>
            <w:r>
              <w:rPr>
                <w:b/>
              </w:rPr>
              <w:t>+8,2%</w:t>
            </w:r>
          </w:p>
        </w:tc>
        <w:tc>
          <w:tcPr>
            <w:tcW w:type="dxa" w:w="864"/>
          </w:tcPr>
          <w:p/>
        </w:tc>
      </w:tr>
    </w:tbl>
    <w:p/>
    <w:p>
      <w:r>
        <w:t>O board do GitLab (board 614) e os burndowns por sprint evidenciam a execução planejada vs. real.</w:t>
      </w:r>
    </w:p>
    <w:p>
      <w:r>
        <w:t>![IMG-JIRA-01 — board 614 e burndown das Sprints S1–S9](evidencias/IMG-JIRA-01_board-burndown.png)</w:t>
      </w:r>
    </w:p>
    <w:p>
      <w:pPr>
        <w:pStyle w:val="Heading2"/>
      </w:pPr>
      <w:r>
        <w:t>4. Medição por sprint (S1–S8)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Velocity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JaCoCo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Karma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pytest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Bugs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NCs</w:t>
            </w:r>
          </w:p>
        </w:tc>
      </w:tr>
      <w:tr>
        <w:tc>
          <w:tcPr>
            <w:tcW w:type="dxa" w:w="1234"/>
          </w:tcPr>
          <w:p>
            <w:r>
              <w:t>S1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78%</w:t>
            </w:r>
          </w:p>
        </w:tc>
        <w:tc>
          <w:tcPr>
            <w:tcW w:type="dxa" w:w="1234"/>
          </w:tcPr>
          <w:p>
            <w:r>
              <w:t>76%</w:t>
            </w:r>
          </w:p>
        </w:tc>
        <w:tc>
          <w:tcPr>
            <w:tcW w:type="dxa" w:w="1234"/>
          </w:tcPr>
          <w:p>
            <w:r>
              <w:t>80%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S2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74%</w:t>
            </w:r>
          </w:p>
        </w:tc>
        <w:tc>
          <w:tcPr>
            <w:tcW w:type="dxa" w:w="1234"/>
          </w:tcPr>
          <w:p>
            <w:r>
              <w:t>72%</w:t>
            </w:r>
          </w:p>
        </w:tc>
        <w:tc>
          <w:tcPr>
            <w:tcW w:type="dxa" w:w="1234"/>
          </w:tcPr>
          <w:p>
            <w:r>
              <w:t>78%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 (NC-001 aberta)</w:t>
            </w:r>
          </w:p>
        </w:tc>
      </w:tr>
      <w:tr>
        <w:tc>
          <w:tcPr>
            <w:tcW w:type="dxa" w:w="1234"/>
          </w:tcPr>
          <w:p>
            <w:r>
              <w:t>S3</w:t>
            </w:r>
          </w:p>
        </w:tc>
        <w:tc>
          <w:tcPr>
            <w:tcW w:type="dxa" w:w="1234"/>
          </w:tcPr>
          <w:p>
            <w:r>
              <w:t>34</w:t>
            </w:r>
          </w:p>
        </w:tc>
        <w:tc>
          <w:tcPr>
            <w:tcW w:type="dxa" w:w="1234"/>
          </w:tcPr>
          <w:p>
            <w:r>
              <w:t>76%</w:t>
            </w:r>
          </w:p>
        </w:tc>
        <w:tc>
          <w:tcPr>
            <w:tcW w:type="dxa" w:w="1234"/>
          </w:tcPr>
          <w:p>
            <w:r>
              <w:t>75%</w:t>
            </w:r>
          </w:p>
        </w:tc>
        <w:tc>
          <w:tcPr>
            <w:tcW w:type="dxa" w:w="1234"/>
          </w:tcPr>
          <w:p>
            <w:r>
              <w:t>79%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S4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80%</w:t>
            </w:r>
          </w:p>
        </w:tc>
        <w:tc>
          <w:tcPr>
            <w:tcW w:type="dxa" w:w="1234"/>
          </w:tcPr>
          <w:p>
            <w:r>
              <w:t>78%</w:t>
            </w:r>
          </w:p>
        </w:tc>
        <w:tc>
          <w:tcPr>
            <w:tcW w:type="dxa" w:w="1234"/>
          </w:tcPr>
          <w:p>
            <w:r>
              <w:t>81%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S5</w:t>
            </w:r>
          </w:p>
        </w:tc>
        <w:tc>
          <w:tcPr>
            <w:tcW w:type="dxa" w:w="1234"/>
          </w:tcPr>
          <w:p>
            <w:r>
              <w:t>33</w:t>
            </w:r>
          </w:p>
        </w:tc>
        <w:tc>
          <w:tcPr>
            <w:tcW w:type="dxa" w:w="1234"/>
          </w:tcPr>
          <w:p>
            <w:r>
              <w:t>82%</w:t>
            </w:r>
          </w:p>
        </w:tc>
        <w:tc>
          <w:tcPr>
            <w:tcW w:type="dxa" w:w="1234"/>
          </w:tcPr>
          <w:p>
            <w:r>
              <w:t>80%</w:t>
            </w:r>
          </w:p>
        </w:tc>
        <w:tc>
          <w:tcPr>
            <w:tcW w:type="dxa" w:w="1234"/>
          </w:tcPr>
          <w:p>
            <w:r>
              <w:t>82%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 (NC-001 encerrada)</w:t>
            </w:r>
          </w:p>
        </w:tc>
      </w:tr>
      <w:tr>
        <w:tc>
          <w:tcPr>
            <w:tcW w:type="dxa" w:w="1234"/>
          </w:tcPr>
          <w:p>
            <w:r>
              <w:t>S6</w:t>
            </w:r>
          </w:p>
        </w:tc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84%</w:t>
            </w:r>
          </w:p>
        </w:tc>
        <w:tc>
          <w:tcPr>
            <w:tcW w:type="dxa" w:w="1234"/>
          </w:tcPr>
          <w:p>
            <w:r>
              <w:t>83%</w:t>
            </w:r>
          </w:p>
        </w:tc>
        <w:tc>
          <w:tcPr>
            <w:tcW w:type="dxa" w:w="1234"/>
          </w:tcPr>
          <w:p>
            <w:r>
              <w:t>83%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S7</w:t>
            </w:r>
          </w:p>
        </w:tc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85%</w:t>
            </w:r>
          </w:p>
        </w:tc>
        <w:tc>
          <w:tcPr>
            <w:tcW w:type="dxa" w:w="1234"/>
          </w:tcPr>
          <w:p>
            <w:r>
              <w:t>84%</w:t>
            </w:r>
          </w:p>
        </w:tc>
        <w:tc>
          <w:tcPr>
            <w:tcW w:type="dxa" w:w="1234"/>
          </w:tcPr>
          <w:p>
            <w:r>
              <w:t>83%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S8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84%</w:t>
            </w:r>
          </w:p>
        </w:tc>
        <w:tc>
          <w:tcPr>
            <w:tcW w:type="dxa" w:w="1234"/>
          </w:tcPr>
          <w:p>
            <w:r>
              <w:t>81%</w:t>
            </w:r>
          </w:p>
        </w:tc>
        <w:tc>
          <w:tcPr>
            <w:tcW w:type="dxa" w:w="1234"/>
          </w:tcPr>
          <w:p>
            <w:r>
              <w:t>83%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</w:tbl>
    <w:p/>
    <w:p>
      <w:r>
        <w:t>Metas: Velocity ≥ 30, Cobertura ≥ 80%, NCs = 0, MRs sem revisor = 0.</w:t>
      </w:r>
    </w:p>
    <w:p>
      <w:pPr>
        <w:pStyle w:val="Heading2"/>
      </w:pPr>
      <w:r>
        <w:t>5. Velocity</w:t>
      </w:r>
    </w:p>
    <w:p>
      <w:r>
        <w:t xml:space="preserve">A velocity média no ciclo S1–S9 foi de </w:t>
      </w:r>
      <w:r>
        <w:rPr>
          <w:b/>
        </w:rPr>
        <w:t>37,1 SP por sprint</w:t>
      </w:r>
      <w:r>
        <w:t xml:space="preserve">, acima da meta de ≥30 SP. A aderência de SP variou de </w:t>
      </w:r>
      <w:r>
        <w:rPr>
          <w:b/>
        </w:rPr>
        <w:t>81% (S7) a 94% (S5)</w:t>
      </w:r>
      <w:r>
        <w:t xml:space="preserve">, com carry controlado — máximo de </w:t>
      </w:r>
      <w:r>
        <w:rPr>
          <w:b/>
        </w:rPr>
        <w:t>10 SP na S8</w:t>
      </w:r>
      <w:r>
        <w:t xml:space="preserve">. A S9 encerrou com 63 SP reais (91% de aderência), entregando RF13, RF14 e MF-64 na release v0.9.0. A cobertura de testes superou o limiar de 80% de forma sustentada a partir da S4 (gate de CI ativado), com JaCoCo entre 80% e 85% nas Sprints S4–S8. Os pipelines GitLab CI (runner-vm-docker, online) executam nos três repositórios com </w:t>
      </w:r>
      <w:r>
        <w:rPr>
          <w:rFonts w:ascii="Consolas" w:hAnsi="Consolas"/>
        </w:rPr>
        <w:t>.gitlab-ci.yml</w:t>
      </w:r>
      <w:r>
        <w:t xml:space="preserve"> presente em </w:t>
      </w:r>
      <w:r>
        <w:rPr>
          <w:rFonts w:ascii="Consolas" w:hAnsi="Consolas"/>
        </w:rPr>
        <w:t>main</w:t>
      </w:r>
      <w:r>
        <w:t>/</w:t>
      </w:r>
      <w:r>
        <w:rPr>
          <w:rFonts w:ascii="Consolas" w:hAnsi="Consolas"/>
        </w:rPr>
        <w:t>develop</w:t>
      </w:r>
      <w:r>
        <w:t>/</w:t>
      </w:r>
      <w:r>
        <w:rPr>
          <w:rFonts w:ascii="Consolas" w:hAnsi="Consolas"/>
        </w:rPr>
        <w:t>homolog</w:t>
      </w:r>
      <w:r>
        <w:t>.</w:t>
      </w:r>
    </w:p>
    <w:p>
      <w:r>
        <w:t>![IMG-CI-01 — pipelines GitLab CI MilhasFacil API/Web/Crawler](evidencias/IMG-CI-01_builds-pipelines.png)</w:t>
      </w:r>
    </w:p>
    <w:p>
      <w:pPr>
        <w:pStyle w:val="Heading2"/>
      </w:pPr>
      <w:r>
        <w:t>6. Marcos e baselines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2880"/>
          </w:tcPr>
          <w:p>
            <w:r>
              <w:t>v0.1.0 … v0.8.0</w:t>
            </w:r>
          </w:p>
        </w:tc>
        <w:tc>
          <w:tcPr>
            <w:tcW w:type="dxa" w:w="2880"/>
          </w:tcPr>
          <w:p>
            <w:r>
              <w:t>S1 … S8</w:t>
            </w:r>
          </w:p>
        </w:tc>
        <w:tc>
          <w:tcPr>
            <w:tcW w:type="dxa" w:w="2880"/>
          </w:tcPr>
          <w:p>
            <w:r>
              <w:t>Liberadas</w:t>
            </w:r>
          </w:p>
        </w:tc>
      </w:tr>
      <w:tr>
        <w:tc>
          <w:tcPr>
            <w:tcW w:type="dxa" w:w="2880"/>
          </w:tcPr>
          <w:p>
            <w:r>
              <w:t>v0.9.0</w:t>
            </w:r>
          </w:p>
        </w:tc>
        <w:tc>
          <w:tcPr>
            <w:tcW w:type="dxa" w:w="2880"/>
          </w:tcPr>
          <w:p>
            <w:r>
              <w:t>S9</w:t>
            </w:r>
          </w:p>
        </w:tc>
        <w:tc>
          <w:tcPr>
            <w:tcW w:type="dxa" w:w="2880"/>
          </w:tcPr>
          <w:p>
            <w:r>
              <w:t>Released em main (tag nos três repositórios, 15/06/2026)</w:t>
            </w:r>
          </w:p>
        </w:tc>
      </w:tr>
    </w:tbl>
    <w:p/>
    <w:p>
      <w:r>
        <w:t xml:space="preserve">Na S9, a baseline foi promovida de develop para main na release </w:t>
      </w:r>
      <w:r>
        <w:rPr>
          <w:b/>
        </w:rPr>
        <w:t>v0.9.0</w:t>
      </w:r>
      <w:r>
        <w:t xml:space="preserve"> (develop→homolog→main nos três repositórios, com tag v0.9.0) em 15/06/2026, entregando RF13, RF14 e MF-64 em main.</w:t>
      </w:r>
    </w:p>
    <w:p>
      <w:pPr>
        <w:pStyle w:val="Heading2"/>
      </w:pPr>
      <w:r>
        <w:t>7. Desvios identificados e riscos materializados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Desvio / evento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Referência</w:t>
            </w:r>
          </w:p>
        </w:tc>
      </w:tr>
      <w:tr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Cobertura abaixo de 80% (JaCoCo 74%) — NC-001 aberta (risco R-02 materializado)</w:t>
            </w:r>
          </w:p>
        </w:tc>
        <w:tc>
          <w:tcPr>
            <w:tcW w:type="dxa" w:w="2880"/>
          </w:tcPr>
          <w:p>
            <w:r>
              <w:t>GQA / NC-001</w:t>
            </w:r>
          </w:p>
        </w:tc>
      </w:tr>
      <w:tr>
        <w:tc>
          <w:tcPr>
            <w:tcW w:type="dxa" w:w="2880"/>
          </w:tcPr>
          <w:p>
            <w:r>
              <w:t>S2–S4</w:t>
            </w:r>
          </w:p>
        </w:tc>
        <w:tc>
          <w:tcPr>
            <w:tcW w:type="dxa" w:w="2880"/>
          </w:tcPr>
          <w:p>
            <w:r>
              <w:t>Desvio de esforço acima de +6% por sprint; carry acumulado</w:t>
            </w:r>
          </w:p>
        </w:tc>
        <w:tc>
          <w:tcPr>
            <w:tcW w:type="dxa" w:w="2880"/>
          </w:tcPr>
          <w:p>
            <w:r>
              <w:t>Planilha §7</w:t>
            </w:r>
          </w:p>
        </w:tc>
      </w:tr>
      <w:tr>
        <w:tc>
          <w:tcPr>
            <w:tcW w:type="dxa" w:w="2880"/>
          </w:tcPr>
          <w:p>
            <w:r>
              <w:t>S5</w:t>
            </w:r>
          </w:p>
        </w:tc>
        <w:tc>
          <w:tcPr>
            <w:tcW w:type="dxa" w:w="2880"/>
          </w:tcPr>
          <w:p>
            <w:r>
              <w:t>NC-001 encerrada com JaCoCo 82% após priorização de testes e gate de CI (S4+)</w:t>
            </w:r>
          </w:p>
        </w:tc>
        <w:tc>
          <w:tcPr>
            <w:tcW w:type="dxa" w:w="2880"/>
          </w:tcPr>
          <w:p>
            <w:r>
              <w:t>GQA / NC-001</w:t>
            </w:r>
          </w:p>
        </w:tc>
      </w:tr>
      <w:tr>
        <w:tc>
          <w:tcPr>
            <w:tcW w:type="dxa" w:w="2880"/>
          </w:tcPr>
          <w:p>
            <w:r>
              <w:t>S6</w:t>
            </w:r>
          </w:p>
        </w:tc>
        <w:tc>
          <w:tcPr>
            <w:tcW w:type="dxa" w:w="2880"/>
          </w:tcPr>
          <w:p>
            <w:r>
              <w:t>Indisponibilidade de serviços (downtime 3h registrado) — RNF05</w:t>
            </w:r>
          </w:p>
        </w:tc>
        <w:tc>
          <w:tcPr>
            <w:tcW w:type="dxa" w:w="2880"/>
          </w:tcPr>
          <w:p>
            <w:r>
              <w:t>Planilha §6</w:t>
            </w:r>
          </w:p>
        </w:tc>
      </w:tr>
      <w:tr>
        <w:tc>
          <w:tcPr>
            <w:tcW w:type="dxa" w:w="2880"/>
          </w:tcPr>
          <w:p>
            <w:r>
              <w:t>S8</w:t>
            </w:r>
          </w:p>
        </w:tc>
        <w:tc>
          <w:tcPr>
            <w:tcW w:type="dxa" w:w="2880"/>
          </w:tcPr>
          <w:p>
            <w:r>
              <w:t>Redesign de companhia quebrou o LatamParser (MF-59); corrigido (risco R-01 materializado)</w:t>
            </w:r>
          </w:p>
        </w:tc>
        <w:tc>
          <w:tcPr>
            <w:tcW w:type="dxa" w:w="2880"/>
          </w:tcPr>
          <w:p>
            <w:r>
              <w:t>CT-08</w:t>
            </w:r>
          </w:p>
        </w:tc>
      </w:tr>
      <w:tr>
        <w:tc>
          <w:tcPr>
            <w:tcW w:type="dxa" w:w="2880"/>
          </w:tcPr>
          <w:p>
            <w:r>
              <w:t>S8</w:t>
            </w:r>
          </w:p>
        </w:tc>
        <w:tc>
          <w:tcPr>
            <w:tcW w:type="dxa" w:w="2880"/>
          </w:tcPr>
          <w:p>
            <w:r>
              <w:t>Maior desvio de esforço do ciclo (+11%, h_real 124 vs. h_est 112)</w:t>
            </w:r>
          </w:p>
        </w:tc>
        <w:tc>
          <w:tcPr>
            <w:tcW w:type="dxa" w:w="2880"/>
          </w:tcPr>
          <w:p>
            <w:r>
              <w:t>Planilha §7</w:t>
            </w:r>
          </w:p>
        </w:tc>
      </w:tr>
    </w:tbl>
    <w:p/>
    <w:p>
      <w:pPr>
        <w:pStyle w:val="Heading2"/>
      </w:pPr>
      <w:r>
        <w:t>8. Situação atual</w:t>
      </w:r>
    </w:p>
    <w:p>
      <w:r>
        <w:t xml:space="preserve">A Sprint 9 (01–14/06/2026) está </w:t>
      </w:r>
      <w:r>
        <w:rPr>
          <w:b/>
        </w:rPr>
        <w:t>Concluída</w:t>
      </w:r>
      <w:r>
        <w:t xml:space="preserve"> — 63 SP reais, 91% de aderência, 6 SP de carry. Os </w:t>
      </w:r>
      <w:r>
        <w:rPr>
          <w:b/>
        </w:rPr>
        <w:t>6 MRs funcionais</w:t>
      </w:r>
      <w:r>
        <w:t xml:space="preserve"> (api !12/!13/!14, web !9/!10, crawler !4) foram </w:t>
      </w:r>
      <w:r>
        <w:rPr>
          <w:b/>
        </w:rPr>
        <w:t>concluídos em 15/06/2026 com 2 revisores aprovados por MR e mergeados em develop</w:t>
      </w:r>
      <w:r>
        <w:t xml:space="preserve">, integrando os filtros avançados (RF13 — api !13/web !9/crawler !4), a exportação CSV UTF-8 BOM (RF14 — api !14/web !10) e a busca de aeroportos por ILIKE (MF-64, api !12). A release </w:t>
      </w:r>
      <w:r>
        <w:rPr>
          <w:b/>
        </w:rPr>
        <w:t>v0.9.0</w:t>
      </w:r>
      <w:r>
        <w:t xml:space="preserve"> foi promovida de develop para main (develop→homolog→main via api !17, tag v0.9.0 nos três repositórios) em 15/06/2026, com </w:t>
      </w:r>
      <w:r>
        <w:rPr>
          <w:b/>
        </w:rPr>
        <w:t>RF13, RF14 e MF-64 Entregues (released em main)</w:t>
      </w:r>
      <w:r>
        <w:t xml:space="preserve">. Os cards </w:t>
      </w:r>
      <w:r>
        <w:rPr>
          <w:b/>
        </w:rPr>
        <w:t>MF-64, MF-65 e MF-69 estão "Concluído"</w:t>
      </w:r>
      <w:r>
        <w:t xml:space="preserve"> no Jira; o card </w:t>
      </w:r>
      <w:r>
        <w:rPr>
          <w:b/>
        </w:rPr>
        <w:t>MF-73</w:t>
      </w:r>
      <w:r>
        <w:t xml:space="preserve"> (padronização de nomenclatura de BD) está no </w:t>
      </w:r>
      <w:r>
        <w:rPr>
          <w:b/>
        </w:rPr>
        <w:t>api !15 ativo</w:t>
      </w:r>
      <w:r>
        <w:t>, aprovado por cezar.velazquez + lucas.batista, aguardando merge.</w:t>
      </w:r>
    </w:p>
    <w:p>
      <w:r>
        <w:t xml:space="preserve">Na medição de qualidade: </w:t>
      </w:r>
      <w:r>
        <w:rPr>
          <w:b/>
        </w:rPr>
        <w:t>37 MRs</w:t>
      </w:r>
      <w:r>
        <w:t xml:space="preserve"> ao total — </w:t>
      </w:r>
      <w:r>
        <w:rPr>
          <w:b/>
        </w:rPr>
        <w:t>36 concluídos + 1 ativo</w:t>
      </w:r>
      <w:r>
        <w:t xml:space="preserve"> (api !15, MF-73). </w:t>
      </w:r>
      <w:r>
        <w:rPr>
          <w:b/>
        </w:rPr>
        <w:t>Todos os 37 MRs possuem exatamente 2 revisores aprovados</w:t>
      </w:r>
      <w:r>
        <w:t xml:space="preserve"> (verificado em 26/06/2026 via SQL — 0 linhas com contagem ≠ 2). A meta "MRs sem revisor = 0" está </w:t>
      </w:r>
      <w:r>
        <w:rPr>
          <w:b/>
        </w:rPr>
        <w:t>plenamente cumprida</w:t>
      </w:r>
      <w:r>
        <w:t xml:space="preserve">. A proteção de branch com push=No one está ativa em </w:t>
      </w:r>
      <w:r>
        <w:rPr>
          <w:rFonts w:ascii="Consolas" w:hAnsi="Consolas"/>
        </w:rPr>
        <w:t>main</w:t>
      </w:r>
      <w:r>
        <w:t>/</w:t>
      </w:r>
      <w:r>
        <w:rPr>
          <w:rFonts w:ascii="Consolas" w:hAnsi="Consolas"/>
        </w:rPr>
        <w:t>homolog</w:t>
      </w:r>
      <w:r>
        <w:t>/</w:t>
      </w:r>
      <w:r>
        <w:rPr>
          <w:rFonts w:ascii="Consolas" w:hAnsi="Consolas"/>
        </w:rPr>
        <w:t>develop</w:t>
      </w:r>
      <w:r>
        <w:t xml:space="preserve"> nos três repositórios, com reset de aprovação em push. A auditoria de GQA da S9 concluída — NC-001 encerrada. O consolidado S1–S9 é </w:t>
      </w:r>
      <w:r>
        <w:rPr>
          <w:b/>
        </w:rPr>
        <w:t>CONFORME</w:t>
      </w:r>
      <w:r>
        <w:t>.</w:t>
      </w:r>
    </w:p>
    <w:p>
      <w:pPr>
        <w:pStyle w:val="Heading2"/>
      </w:pPr>
      <w:r>
        <w:t>9. Mudanças (change requests)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Abertura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Dias em aberto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Aceite final</w:t>
            </w:r>
          </w:p>
        </w:tc>
      </w:tr>
      <w:tr>
        <w:tc>
          <w:tcPr>
            <w:tcW w:type="dxa" w:w="1440"/>
          </w:tcPr>
          <w:p>
            <w:r>
              <w:t>CR-MF-001</w:t>
            </w:r>
          </w:p>
        </w:tc>
        <w:tc>
          <w:tcPr>
            <w:tcW w:type="dxa" w:w="1440"/>
          </w:tcPr>
          <w:p>
            <w:r>
              <w:t>Antecipação dos filtros avançados de busca (</w:t>
            </w:r>
            <w:r>
              <w:rPr>
                <w:rFonts w:ascii="Consolas" w:hAnsi="Consolas"/>
              </w:rPr>
              <w:t>maxMiles</w:t>
            </w:r>
            <w:r>
              <w:t>/</w:t>
            </w:r>
            <w:r>
              <w:rPr>
                <w:rFonts w:ascii="Consolas" w:hAnsi="Consolas"/>
              </w:rPr>
              <w:t>cabinType</w:t>
            </w:r>
            <w:r>
              <w:t>, RF13) da Sprint 10 para a Sprint 9 (+10 h; 0 dia de atraso macro)</w:t>
            </w:r>
          </w:p>
        </w:tc>
        <w:tc>
          <w:tcPr>
            <w:tcW w:type="dxa" w:w="1440"/>
          </w:tcPr>
          <w:p>
            <w:r>
              <w:t>28/05/2026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Aprovada (implementada na S9)</w:t>
            </w:r>
          </w:p>
        </w:tc>
        <w:tc>
          <w:tcPr>
            <w:tcW w:type="dxa" w:w="1440"/>
          </w:tcPr>
          <w:p>
            <w:r>
              <w:t xml:space="preserve">RF13 entregue na release v0.9.0 (released em </w:t>
            </w:r>
            <w:r>
              <w:rPr>
                <w:rFonts w:ascii="Consolas" w:hAnsi="Consolas"/>
              </w:rPr>
              <w:t>main</w:t>
            </w:r>
            <w:r>
              <w:t>)</w:t>
            </w:r>
          </w:p>
        </w:tc>
      </w:tr>
    </w:tbl>
    <w:p/>
    <w:p>
      <w:pPr>
        <w:pStyle w:val="IntenseQuote"/>
      </w:pPr>
      <w:r>
        <w:t xml:space="preserve">Detalhamento em </w:t>
      </w:r>
      <w:r>
        <w:rPr>
          <w:rFonts w:ascii="Consolas" w:hAnsi="Consolas"/>
        </w:rPr>
        <w:t>CR-MILHASFACIL01-001</w:t>
      </w:r>
      <w:r>
        <w:t>. A absorção do CR na S9 (api !13, web !9, crawler !4 — issue #65 "Concluído") está refletida no escopo (painel §1) e nas baselines (§6).</w:t>
      </w:r>
    </w:p>
    <w:p>
      <w:pPr>
        <w:pStyle w:val="Heading2"/>
      </w:pPr>
      <w:r>
        <w:t>10. Decisões necessárias</w:t>
      </w:r>
    </w:p>
    <w:p>
      <w:r>
        <w:t>Nenhuma decisão pendente no período de referência.</w:t>
      </w:r>
    </w:p>
    <w:p>
      <w:pPr>
        <w:pStyle w:val="Heading3"/>
      </w:pPr>
      <w:r>
        <w:t>Evidências referenciadas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capturar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Fonte/URL</w:t>
            </w:r>
          </w:p>
        </w:tc>
      </w:tr>
      <w:tr>
        <w:tc>
          <w:tcPr>
            <w:tcW w:type="dxa" w:w="2880"/>
          </w:tcPr>
          <w:p>
            <w:r>
              <w:t>IMG-JIRA-01</w:t>
            </w:r>
          </w:p>
        </w:tc>
        <w:tc>
          <w:tcPr>
            <w:tcW w:type="dxa" w:w="2880"/>
          </w:tcPr>
          <w:p>
            <w:r>
              <w:t>Board 614 com as colunas e o burndown das Sprints S1–S9 (S9 com MF-64/MF-65/MF-69 "Concluído"; MF-73 em andamento)</w:t>
            </w:r>
          </w:p>
        </w:tc>
        <w:tc>
          <w:tcPr>
            <w:tcW w:type="dxa" w:w="2880"/>
          </w:tcPr>
          <w:p>
            <w:r>
              <w:t>Jira — board 614</w:t>
            </w:r>
          </w:p>
        </w:tc>
      </w:tr>
      <w:tr>
        <w:tc>
          <w:tcPr>
            <w:tcW w:type="dxa" w:w="2880"/>
          </w:tcPr>
          <w:p>
            <w:r>
              <w:t>IMG-CI-01</w:t>
            </w:r>
          </w:p>
        </w:tc>
        <w:tc>
          <w:tcPr>
            <w:tcW w:type="dxa" w:w="2880"/>
          </w:tcPr>
          <w:p>
            <w:r>
              <w:t xml:space="preserve">Pipelines GitLab CI dos três repositórios com status </w:t>
            </w:r>
            <w:r>
              <w:rPr>
                <w:rFonts w:ascii="Consolas" w:hAnsi="Consolas"/>
              </w:rPr>
              <w:t>success</w:t>
            </w:r>
            <w:r>
              <w:t>; gate JaCoCo 80% no api</w:t>
            </w:r>
          </w:p>
        </w:tc>
        <w:tc>
          <w:tcPr>
            <w:tcW w:type="dxa" w:w="2880"/>
          </w:tcPr>
          <w:p>
            <w:r>
              <w:t>GitLab — http://191.234.192.153 → CI/CD → Pipelines</w:t>
            </w:r>
          </w:p>
        </w:tc>
      </w:tr>
    </w:tbl>
    <w:p/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evidência do ciclo S1–S9 (MR-MPS-SW:2024 Nível C).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25/06/2026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Aderência ao TPL-GPR-005: inclusão do painel de situação RAG de 4 dimensões (§1), CR-MF-001 (§9) e decisões necessárias (§10).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26/06/2026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Reconciliação MPS.BR Nível C — S9 marcada como "Concluída" (63 SP real, 91%); total S1-S9 adicionado; remoção de "Mateus Veloso" e "WIP"; referências a PR #numbers trocadas por !iids GitLab; meta "MRs sem revisor = 0" — Cumprida (37 MRs, 2 revisores cada, verificado via SQL).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