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MAPA DE ARTEFATOS — MPS-SW NÍVEL 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Pasta   ·   Versão 0.40 (rascunho)   ·   13/06/2026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MAPA-ORG-001 — Mapa de Artefatos / Plano de Implantação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0.40 (rascunho)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Modelo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MR-MPS-SW:2024 — Nível 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Avaliadora (IA)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ASR Consultoria e Assessoria em Qualidade Ltda.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Fonte de 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PlanilhaIndicadores_SW_2024__NivelC.xlsx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Nº de projetos na avaliação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selecionados (PROFARMA/D1000, FTGASMIG, FTFRUKI) · AASP_CNJ documentado como 4º projeto (reserva)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(ponto focal)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v0.40 (13/06/2026):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revisão geral do inventário (§2.1) a partir da varredura completa do repositório — sincronização de todos os documentos e versões existentes hoje. Novos artefatos de governança incorporados: ATA-GPC-001 (ata de análise crítica), GQA-ORG-001 (auditoria organizacional), REG-GPC-001 (registro de melhorias), REG-GPC-002 (plano de implementação de melhorias), REG-OSW-001 (painel de portfólio) e REG-OSW-002 (comunicação da política). Novos processos de apoio: PRO-CAP-001, PRO-GCO-001, PRO-MED-001 e REG-MED-001 (repositório de medidas). Capacitação ampliada para 47 ativos (incl. MAT-CAP-023 e TPL-CAP-002). Registros de projeto atualizados: PROFARMA (21), FTGASMIG (28 — OS-001 e OS-002 encerradas), FTFRUKI (34), e </w:t>
      </w:r>
      <w:r>
        <w:rPr>
          <w:rFonts w:ascii="Calibri" w:hAnsi="Calibri"/>
          <w:b/>
          <w:i w:val="0"/>
          <w:color w:val="1A5276"/>
          <w:sz w:val="22"/>
        </w:rPr>
        <w:t>AASP_CNJ agora documentado (19 docs)</w:t>
      </w:r>
      <w:r>
        <w:rPr>
          <w:rFonts w:ascii="Calibri" w:hAnsi="Calibri"/>
          <w:b w:val="0"/>
          <w:i w:val="0"/>
          <w:color w:val="1A5276"/>
          <w:sz w:val="22"/>
        </w:rPr>
        <w:t xml:space="preserve"> como 4º projeto de reserva. Escopo da avaliação fixado em </w:t>
      </w:r>
      <w:r>
        <w:rPr>
          <w:rFonts w:ascii="Calibri" w:hAnsi="Calibri"/>
          <w:b/>
          <w:i w:val="0"/>
          <w:color w:val="1A5276"/>
          <w:sz w:val="22"/>
        </w:rPr>
        <w:t>3 projetos</w:t>
      </w:r>
      <w:r>
        <w:rPr>
          <w:rFonts w:ascii="Calibri" w:hAnsi="Calibri"/>
          <w:b w:val="0"/>
          <w:i w:val="0"/>
          <w:color w:val="1A5276"/>
          <w:sz w:val="22"/>
        </w:rPr>
        <w:t xml:space="preserve"> (PROFARMA, GASMIG, FRUKI). AQU confirmado como </w:t>
      </w:r>
      <w:r>
        <w:rPr>
          <w:rFonts w:ascii="Calibri" w:hAnsi="Calibri"/>
          <w:b/>
          <w:i w:val="0"/>
          <w:color w:val="1A5276"/>
          <w:sz w:val="22"/>
        </w:rPr>
        <w:t>Não Aplicável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v0.2 (02/06/2026):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resolução das 5 pendências de escopo. OSW 8/9/10 confirmados no escopo (há gestão de portfólio). AQU mantido, mas movido para o fim da fila (candidato a não-aplicável, a confirmar com a ASR). Ferramentas definidas (Jira, Git, Azure DevOps, Azure Test Plans/Xray, Confluence). Papel de GQA confirmado. Ver seção 3 para detalhes.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v0.30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criado TPL-GPC-001 (Template de Registro de Verificação de GQA); PLA-GPC-001 atualizado para v1.3 com inventário completo de ativos (§2). Ambas as lacunas identificadas na análise de cobertura da camada de definição.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v0.33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§2.1 reescrito como inventário completo e organizado por categoria — versão única de referência de todos os documentos existentes.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v0.37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§2.1 Registros de projetos atualizado com inventário completo de FTFRUKI_SuperApp-Forca-de-Vendas (32 docs — Pacote 1 encerrado Set/2025 e Pacote Final 24 encerrado Jan/2026) e PROFARMA_Cadastro-de-Clientes (18 docs — encerrado 29/01/2026, cliente Rede D1000). Pendência 3 e próximos passos atualizados.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v0.36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versões atualizadas no §2.1 conforme ajustes de compliance MPS: PRO-GPC-002 v1.2, EST-GPC-001 v1.3, EST-GPC-002 v1.2, PRO-GDE-001 v1.2, PRO-GPR-001 v1.4 (seções de rastreabilidade com nomenclatura equivalente ASR); TPL-GPR-001 v1.1 (+coluna Exposição); TPL-GPC-001 v1.1 (+% conformidade).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v0.35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inclusão dos 28 materiais de capacitação oficiais (</w:t>
      </w:r>
      <w:r>
        <w:rPr>
          <w:rFonts w:ascii="Courier New" w:hAnsi="Courier New"/>
          <w:b w:val="0"/>
          <w:i w:val="0"/>
          <w:color w:val="1A5276"/>
          <w:sz w:val="20"/>
        </w:rPr>
        <w:t>oficial/01_apoio/cap/</w:t>
      </w:r>
      <w:r>
        <w:rPr>
          <w:rFonts w:ascii="Calibri" w:hAnsi="Calibri"/>
          <w:b w:val="0"/>
          <w:i w:val="0"/>
          <w:color w:val="1A5276"/>
          <w:sz w:val="22"/>
        </w:rPr>
        <w:t>) no inventário §2.1: 12 mini-manuais por processo (GUIA-CAP-001~012), 10 trilhas de treinamento por papel (MAT-CAP-013~022), 5 avaliações de capacitação (AVA-CAP-001~005) e 1 template de registro de sessão (TPL-CAP-001).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v0.34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adição do inventário de registros de projetos ao §2.1 — FTGASMIG (24 documentos, OS-001 encerrada + OS-002 em andamento) confirmado como primeiro projeto da avaliação; estrutura dos demais projetos criada (AASP ×3, PROFARMA). Correção da independência da GQA no FTGASMIG (auditor: COO). Criação do GDE-GASMIG02-001 (registro de decisão arquitetural). Pendência 3 (seleção dos 4 projetos) atualizada.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v0.32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criado GUIA-GCO-001 (Guia de Nomenclaturas Técnicas v1.0) com padrões técnicos de nomenclatura para repositórios, código, BD, recursos Azure, pipelines e Key Vault. PLA-GPC-001 atualizado para v1.4 (adição ao inventário). PLA-GCO-001 v1.1 referencia o novo guia.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Alterações v0.31 (05/06/2026):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fechamento de lacunas de definição identificadas no diagnóstico MPS. Grupo 1 (conteúdo): PRO-OSW-001 v1.2 (+RACI e competências §4); PRO-OSW-002 v1.2 (+estrutura do quadro de capacity §4.1); PLA-MED-001 v1.3 (+estrutura do repositório organizacional §4.1); PLA-GCO-001 v1.1 (+lista mínima de ICs por projeto §3.1); PLA-CAP-001 v1.1 (+tabela de fontes e responsáveis §3). Grupo 2 (maturidade): PRO-GDE-001 v1.1 (+limiar orientativo de alto impacto); PRO-AQU-001 v1.1 (+critérios mínimos de qualificação); PRO-ITP-001 v1.1 (+critérios de conclusão da integração); MAPA-CAP-001 v1.1 (+revisão de correspondência pós-primeiro ciclo).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Como usar este mapa:</w:t>
      </w:r>
      <w:r>
        <w:rPr>
          <w:rFonts w:ascii="Calibri" w:hAnsi="Calibri"/>
          <w:b w:val="0"/>
          <w:i w:val="0"/>
          <w:color w:val="1A5276"/>
          <w:sz w:val="22"/>
        </w:rPr>
        <w:t xml:space="preserve"> é o painel de controle da implantação. Cada processo tem seus resultados esperados (o que a avaliação verifica) e os artefatos que servem de evidência. A coluna </w:t>
      </w:r>
      <w:r>
        <w:rPr>
          <w:rFonts w:ascii="Calibri" w:hAnsi="Calibri"/>
          <w:b/>
          <w:i w:val="0"/>
          <w:color w:val="1A5276"/>
          <w:sz w:val="22"/>
        </w:rPr>
        <w:t>Status</w:t>
      </w:r>
      <w:r>
        <w:rPr>
          <w:rFonts w:ascii="Calibri" w:hAnsi="Calibri"/>
          <w:b w:val="0"/>
          <w:i w:val="0"/>
          <w:color w:val="1A5276"/>
          <w:sz w:val="22"/>
        </w:rPr>
        <w:t xml:space="preserve"> é atualizada conforme avançamos. A coluna </w:t>
      </w:r>
      <w:r>
        <w:rPr>
          <w:rFonts w:ascii="Calibri" w:hAnsi="Calibri"/>
          <w:b/>
          <w:i w:val="0"/>
          <w:color w:val="1A5276"/>
          <w:sz w:val="22"/>
        </w:rPr>
        <w:t>Local</w:t>
      </w:r>
      <w:r>
        <w:rPr>
          <w:rFonts w:ascii="Calibri" w:hAnsi="Calibri"/>
          <w:b w:val="0"/>
          <w:i w:val="0"/>
          <w:color w:val="1A5276"/>
          <w:sz w:val="22"/>
        </w:rPr>
        <w:t xml:space="preserve"> indica onde o artefato vai viver (Confluence, template, ferramenta, registro por projeto).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Legenda de Status:</w:t>
      </w:r>
      <w:r>
        <w:rPr>
          <w:rFonts w:ascii="Calibri" w:hAnsi="Calibri"/>
          <w:b w:val="0"/>
          <w:i w:val="0"/>
          <w:color w:val="1A5276"/>
          <w:sz w:val="22"/>
        </w:rPr>
        <w:t xml:space="preserve"> ⬜ A fazer · 🟨 Em andamento · ✅ Pronto · 🔵 Revisar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Legenda de Tipo:</w:t>
      </w:r>
      <w:r>
        <w:rPr>
          <w:rFonts w:ascii="Calibri" w:hAnsi="Calibri"/>
          <w:b w:val="0"/>
          <w:i w:val="0"/>
          <w:color w:val="1A5276"/>
          <w:sz w:val="22"/>
        </w:rPr>
        <w:t xml:space="preserve"> </w:t>
      </w:r>
      <w:r>
        <w:rPr>
          <w:rFonts w:ascii="Courier New" w:hAnsi="Courier New"/>
          <w:b w:val="0"/>
          <w:i w:val="0"/>
          <w:color w:val="1A5276"/>
          <w:sz w:val="20"/>
        </w:rPr>
        <w:t>ORG</w:t>
      </w:r>
      <w:r>
        <w:rPr>
          <w:rFonts w:ascii="Calibri" w:hAnsi="Calibri"/>
          <w:b w:val="0"/>
          <w:i w:val="0"/>
          <w:color w:val="1A5276"/>
          <w:sz w:val="22"/>
        </w:rPr>
        <w:t xml:space="preserve"> = artefato organizacional (faz 1 vez) · </w:t>
      </w:r>
      <w:r>
        <w:rPr>
          <w:rFonts w:ascii="Courier New" w:hAnsi="Courier New"/>
          <w:b w:val="0"/>
          <w:i w:val="0"/>
          <w:color w:val="1A5276"/>
          <w:sz w:val="20"/>
        </w:rPr>
        <w:t>PROJ</w:t>
      </w:r>
      <w:r>
        <w:rPr>
          <w:rFonts w:ascii="Calibri" w:hAnsi="Calibri"/>
          <w:b w:val="0"/>
          <w:i w:val="0"/>
          <w:color w:val="1A5276"/>
          <w:sz w:val="22"/>
        </w:rPr>
        <w:t xml:space="preserve"> = artefato de projeto (preenche por projeto, x4) · </w:t>
      </w:r>
      <w:r>
        <w:rPr>
          <w:rFonts w:ascii="Courier New" w:hAnsi="Courier New"/>
          <w:b w:val="0"/>
          <w:i w:val="0"/>
          <w:color w:val="1A5276"/>
          <w:sz w:val="20"/>
        </w:rPr>
        <w:t>TPL</w:t>
      </w:r>
      <w:r>
        <w:rPr>
          <w:rFonts w:ascii="Calibri" w:hAnsi="Calibri"/>
          <w:b w:val="0"/>
          <w:i w:val="0"/>
          <w:color w:val="1A5276"/>
          <w:sz w:val="22"/>
        </w:rPr>
        <w:t xml:space="preserve"> = template/modelo · </w:t>
      </w:r>
      <w:r>
        <w:rPr>
          <w:rFonts w:ascii="Courier New" w:hAnsi="Courier New"/>
          <w:b w:val="0"/>
          <w:i w:val="0"/>
          <w:color w:val="1A5276"/>
          <w:sz w:val="20"/>
        </w:rPr>
        <w:t>DEF</w:t>
      </w:r>
      <w:r>
        <w:rPr>
          <w:rFonts w:ascii="Calibri" w:hAnsi="Calibri"/>
          <w:b w:val="0"/>
          <w:i w:val="0"/>
          <w:color w:val="1A5276"/>
          <w:sz w:val="22"/>
        </w:rPr>
        <w:t xml:space="preserve"> = documento de definição/política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importante sobre os processos de PROJETO (GPR, REQ, PCP, ITP, VV):</w:t>
      </w:r>
      <w:r>
        <w:rPr>
          <w:rFonts w:ascii="Calibri" w:hAnsi="Calibri"/>
          <w:b w:val="0"/>
          <w:i w:val="0"/>
          <w:color w:val="1A5276"/>
          <w:sz w:val="22"/>
        </w:rPr>
        <w:t xml:space="preserve"> o status ✅ nesses processos indica que a </w:t>
      </w:r>
      <w:r>
        <w:rPr>
          <w:rFonts w:ascii="Calibri" w:hAnsi="Calibri"/>
          <w:b/>
          <w:i w:val="0"/>
          <w:color w:val="1A5276"/>
          <w:sz w:val="22"/>
        </w:rPr>
        <w:t>definição do processo e os templates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estão prontos (camada organizacional). A </w:t>
      </w:r>
      <w:r>
        <w:rPr>
          <w:rFonts w:ascii="Calibri" w:hAnsi="Calibri"/>
          <w:b/>
          <w:i w:val="0"/>
          <w:color w:val="1A5276"/>
          <w:sz w:val="22"/>
        </w:rPr>
        <w:t>evidência de uso</w:t>
      </w:r>
      <w:r>
        <w:rPr>
          <w:rFonts w:ascii="Calibri" w:hAnsi="Calibri"/>
          <w:b w:val="0"/>
          <w:i w:val="0"/>
          <w:color w:val="1A5276"/>
          <w:sz w:val="22"/>
        </w:rPr>
        <w:t xml:space="preserve"> — os templates preenchidos em cada um dos 4 projetos da avaliação — é uma etapa posterior (camada de evidência), ainda a ser produzida quando os 4 projetos forem selecionados e documentados. Definição pronta ≠ evidência nos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— ordem de construção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implantação segue do macro (governança organizacional) para o granular (execução de projeto), terminando pela camada de capacidade que atravessa tudo. Esta é a ordem recomendada de trabalho: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quê primeiro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OSW, GPC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Definem a estrutura, a política e a </w:t>
            </w:r>
            <w:r>
              <w:rPr>
                <w:rFonts w:ascii="Calibri" w:hAnsi="Calibri"/>
                <w:b w:val="0"/>
                <w:i/>
                <w:sz w:val="20"/>
              </w:rPr>
              <w:t>biblioteca de processos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que todo o resto usa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Apoio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MED, CAP, GDE, GCO, AQU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Serviços organizacionais que os projetos consomem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PCP, ITP, VV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ciclo de vida do projeto, adaptado do processo-padrão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Capacidade (transversal)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CP_Projeto, CP_Organizacional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Institucionalização — aplica-se a TODOS os processos acima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Estrutura de pastas / organização proposta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MPS-Nivel-C/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00_Governanca/          (OSW, GPC) — DEF/ORG → Confluence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01_Apoio/               (MED, CAP, GDE, GCO, AQU) — DEF/ORG + TPL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02_Projeto/             (GPR, REQ, PCP, ITP, VV) — DEF/ORG + TPL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03_Templates/           (todos os TPL em branco) → modelos Confluence/Word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04_Registros/           (TPL preenchidos por projeto)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Projeto-1/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Projeto-2/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Projeto-3/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Projeto-4/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05_Capacidade/          (evidências de institucionalização — garantia da qualidade, melhoria)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2.1 Inventário completo de documentos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Atualizado em 13/06/2026 (v0.40) — gerado a partir da varredura direta do repositório (`oficial/`). Total: 199 documentos `.md` + 6 currículos (`.pdf`), 1 diagrama (`.svg`) e planilhas de gestão de projeto (`.xlsx`).</w:t>
      </w:r>
    </w:p>
    <w:p>
      <w:pPr>
        <w:pStyle w:val="Heading2"/>
        <w:keepNext/>
        <w:keepLines/>
      </w:pPr>
      <w:r>
        <w:t>Governança organizacional (`oficial/00_governanca/`)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Reuniao Analise Critica de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6,7; OSW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Convencao de Nomenclatura e Versionamento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1,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Garantia da Qualidade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3; CP (iv,v,vi)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Gerencia de Riscos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7; OSW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GQA-ORG-001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3; CP (iv,v)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de Adaptacao do Processo Padrao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Gestao e Melhoria de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1,4,5,8,10,11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Politica Organizacional de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Padrao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Definicao do Time de Melhoria Continua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Governanca Organizacional de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2,3,4,5,6,7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Gestao de Portfolio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8,9,10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Melhorias de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Implementacao de Melhorias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5,6,11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REG-OSW-001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Portfolio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8,9,10; MED 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REG-OSW-002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Comunicacao da Politica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1,7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Apoio organizacional (`oficial/01_apoio/`)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GUIA-GCO-001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de Nomenclaturas Tecnicas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1,2; GPC 8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Capacitacao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1-4; OSW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Gerencia de Configuracao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1-5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Medicao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1-7; GPC 9; OSW 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PRO-AQU-001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Aquisicao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1-4 (NA)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PRO-CAP-001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Capacitacao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1-4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PRO-GCO-001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Gerencia de Configuracao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1-5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PRO-GDE-001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Gerencia de Decisoes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1-6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PRO-MED-001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Medicao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1-7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REG-MED-001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Repositorio Organizacional de Medicao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3,7; GPC 9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Capacitação (`oficial/01_apoio/cap/`)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Avaliacao Processo Padrao Geral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Avaliacao GPR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Avaliacao Tecnico REQ PCP 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Avaliacao GCO ITP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Avaliacao GPC MED CAP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GPR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REQ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PCP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ITP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GDE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MED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GPC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OSW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CAP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MiniManual AQU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COO Portfolio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Time Melhoria SEPG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RH Pessoas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Tech Lead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PO PM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Devs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GCO Baseline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Responsavel Medicao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Tecnica Onboarding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Reforco Jan2025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Treinamento Dez2024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Reforco Set2025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Treinamento Mar2025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Treinamento Ago2025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Treinamento Jan2026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Treinamento Mai2026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Gestao Out2025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Tecnico Jan2026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Sessao Tecnico Fev2026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Reciclagem Mar2026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 Tecnico Jan2026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Workshop Azure APIM Mar2026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Workshop Automacao Testes Fev2026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Consultoria Desenho Processos Jun2025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REG-CAP-CV-001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Indice de Curriculos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Eficacia 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Sessao de Treinamento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Eficacia de Treinamento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Subtotal capacitação: 47 documentos (5 avaliações, 12 mini-manuais, 11 trilhas/materiais, 15 registros de sessão, índice de currículos, relatório de eficácia, 2 templates).</w:t>
      </w:r>
    </w:p>
    <w:p>
      <w:pPr>
        <w:pStyle w:val="Heading2"/>
        <w:keepNext/>
        <w:keepLines/>
      </w:pPr>
      <w:r>
        <w:t>Processos de projeto (`oficial/02_projeto/`)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GUIA-GPR-001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Roteiro de 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apoio GPR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Gerencia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1-20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PRO-ITP-001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Integracao do Produto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1-6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PRO-PCP-001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Projeto e Construcao do Produto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1-3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PRO-REQ-001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Engenharia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1-7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PRO-VV-001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Verificacao e Validacao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1-5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Templates (`oficial/03_templates/`)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EXEMPLO-GPR-005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Report Exemplo Preenchido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TPL-GDE-001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Registro de Analise de Decisao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Registro de Verificacao de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Termo de Abertura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Registro de Adaptacao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Termo de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Relatorio de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TPL-ITP-001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Estrategia de Integracao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Ata de Reuniao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TPL-PCP-001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Documento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TPL-VV-001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Plano de Verificacao e Validacao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TPL-VV-002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Registro de Revisao por Pares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Capacidade (`oficial/05_capacidade/`)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MAPA-CAP-001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Capacidade dos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CP-E/D/C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MAPA-ORG-001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Papeis e Responsabilidades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4; CP (iii)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Registros de projeto — PROFARMA (`04_registros/PROFARMA_Cadastro-de-Clientes/`)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Kickoff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ATA-PROFARMA01-002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Final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Change Requests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CTQ-PROFARMA01-001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Cenarios de Teste Homologacao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Gerencia de Configuracao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Analise de Decisao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Integracao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Licoes Aprendidas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Execucao de Testes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Revisao Tecnica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VV-PROFARMA01-001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Registros de projeto — GASMIG (`04_registros/FTGASMIG_Governanca-APIs/GASMIG02_Fundacao-Tecnologica/`)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Adaptacao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Kickoff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OS001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Apresentacao Entrega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Capacitacao da Equipe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 de Configuracao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Analise de Decisao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Integracao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Licoes Aprendidas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Verificacao Tecnica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OS001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 OS002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Registros de projeto — FRUKI (`04_registros/FTFRUKI_SuperApp-Forca-de-Vendas/`)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Adaptacao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Kickoff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Levantamento Metas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Final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Validacao Sprint1 NaoAlocados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Validacao Sprint2 RegraDeOuro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Validacao Sprint3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Piloto Pacote1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Kickoff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Solicitacao de Mudanca RegraDeOuro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Configuracao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Decisao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Integracao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Integracao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Licoes Aprendidas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Acompanhamento Pacote1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VeV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VeV PacoteFinal24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Registros de projeto — AASP_CNJ (`04_registros/AASP_CNJ/`)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INDICE AASPCNJ01_Mapa de Registros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Alinhamento Fluxo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Capacitacao da Equipe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Configuracao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Analise de Decisao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Estrategia de Integracao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Relatorio de Execucao de Testes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Revisao por Pares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VV-AASPCNJ01-001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Internos (`_interno/`) — não auditados pela ASR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Artefatos / Plano de Implantação (este doc)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Rascunho de gestão (v0.40)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de Estrutura do Confluence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Apoio à navegação no Confluence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PlanilhaIndicadores...PREENCHIDA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evidências para a ASR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Submissão da avaliação (links Drive)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Lacunas de upload (existem no repositório, ainda sem link no Drive)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REG-MED-001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01_apoio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Repositório de medidas — subir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.docx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ao Drive (reforça MED 3/7 e GPC 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EXEMPLO-GPR-005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03_templates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Exemplo preenchido de status report — apoio, não é evidência obrigatória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04_registros/FTFRUKI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kickoff do Pacote Final 24 — subir ao Drive (reforça GPR 13 do FRUKI)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00_INDICE-AASPCNJ01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04_registros/AASP_CNJ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Índice do projeto AASP (reserva)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FASE 1 — GOVERNANÇA</w:t>
      </w:r>
    </w:p>
    <w:p>
      <w:pPr>
        <w:pStyle w:val="Heading2"/>
        <w:keepNext/>
        <w:keepLines/>
      </w:pPr>
      <w:r>
        <w:t>OSW — Gerência Organizacional de Software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Propósito: dar à gerência instrumentos para apoiar os processos e alinhar objetivos de negócio, processos, recursos e projetos.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Diretrizes de definição/melhoria de desempenho definidas e comunicadas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POL-ORG-001 — Política Organizacional de Processos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e treinamento garantidos pela gerência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PRO-OSW-001 §3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Informações de governança identificadas e usadas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PRO-OSW-001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Jira/Confluence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4+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Autoridade, competências e colaboradores alinhados aos objetivos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PRO-OSW-001 §4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5+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Riscos/oportunidades organizacionais geridos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PRO-OSW-001 §5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EST-GPC-002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Coleta/análise/uso de medidas organizacionais garantidos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PRO-OSW-001 §6 + PLA-MED-001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dos processos aos objetivos garantido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PRO-OSW-001 §7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análise crítica trimestral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Oportunidades de negócio/investimentos priorizados (portfólio)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PRO-OSW-002 §3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Recursos/orçamento/autoridade do portfólio estabelecidos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PRO-OSW-002 §4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quadro de capacity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 do portfólio mantidos/tratados conforme acordos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PRO-OSW-002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OSW 8/9/10 — CONFIRMADOS NO ESCOPO (v0.2).</w:t>
      </w:r>
      <w:r>
        <w:rPr>
          <w:rFonts w:ascii="Calibri" w:hAnsi="Calibri"/>
          <w:b w:val="0"/>
          <w:i w:val="0"/>
          <w:color w:val="1A5276"/>
          <w:sz w:val="22"/>
        </w:rPr>
        <w:t xml:space="preserve"> A TIMEWARE gerencia portfólio: recursos compartilhados entre projetos (tech lead, arquiteto, PO) com gestão de capacity; quando necessário, puxa recursos de fora da unidade ou contrata. Já existe um quadro/registro de capacity informal — será formalizado como evidência principal de OSW 9/10.</w:t>
      </w:r>
    </w:p>
    <w:p>
      <w:pPr>
        <w:pStyle w:val="Heading2"/>
        <w:keepNext/>
        <w:keepLines/>
      </w:pPr>
      <w:r>
        <w:t>GPC — Gerência de Processos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Propósito: estabelecer e melhorar a biblioteca de ativos de processo da organização; definir estratégias de qualidade e de risco.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Ativos de processo necessários identificados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PLA-GPC-001 §2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Inventário de ativos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2+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arquitetura de processos + biblioteca + diretrizes de adaptação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PRO-GPC-001 Processo-Padrão Organizacional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(✅) + </w:t>
            </w:r>
            <w:r>
              <w:rPr>
                <w:rFonts w:ascii="Calibri" w:hAnsi="Calibri"/>
                <w:b/>
                <w:i w:val="0"/>
                <w:sz w:val="20"/>
              </w:rPr>
              <w:t>GUIA-GPC-001 Guia de Adaptação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(✅)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e plano(s) de garantia da qualidade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EST-GPC-001 — Estratégia de Garantia da Qualidade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4+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Oportunidades de melhoria identificadas e mantidas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PLA-GPC-001 §5.1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Registro de Oportunidades de Melhoria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5+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implementação de melhorias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PLA-GPC-001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de apoio (SEPG/grupo de processos) estabelecida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PRO-GPC-002 — Definição do Time de Melhoria Contínua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gerência de riscos e oportunidades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EST-GPC-002 — Estratégia de Gerência de Riscos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Ambientes padrão de trabalho estabelecidos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PLA-GPC-001 §3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organizacional de medidas + garantia da qualidade de medidas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§4 e §8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Processos-padrão implantados na organização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PLA-GPC-001 §4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Efetividade das melhorias avaliada e relatada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PLA-GPC-001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FASE 2 — APOIO ORGANIZACIONAL</w:t>
      </w:r>
    </w:p>
    <w:p>
      <w:pPr>
        <w:pStyle w:val="Heading2"/>
        <w:keepNext/>
        <w:keepLines/>
      </w:pPr>
      <w:r>
        <w:t>MED — Medição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Objetivos de medição derivados dos objetivos de negócio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Medidas com definições operacionais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Catálogo de Medidas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Medidas coletadas, verificadas e armazenadas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4+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Desempenho organizacional analisado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Ações corretivas a partir das medidas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Resultados comunicados periodicamente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avaliado periodicamente (qualidade de medidas)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PLA-MED-001 §8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MED — nota de ferramenta (v0.2):</w:t>
      </w:r>
      <w:r>
        <w:rPr>
          <w:rFonts w:ascii="Calibri" w:hAnsi="Calibri"/>
          <w:b w:val="0"/>
          <w:i w:val="0"/>
          <w:color w:val="1A5276"/>
          <w:sz w:val="22"/>
        </w:rPr>
        <w:t xml:space="preserve"> o Jira é o repositório de medidas. Atenção na produção: o avaliador exige que os indicadores sejam </w:t>
      </w:r>
      <w:r>
        <w:rPr>
          <w:rFonts w:ascii="Calibri" w:hAnsi="Calibri"/>
          <w:b/>
          <w:i w:val="0"/>
          <w:color w:val="1A5276"/>
          <w:sz w:val="22"/>
        </w:rPr>
        <w:t>consolidados e analisados ao longo do tempo</w:t>
      </w:r>
      <w:r>
        <w:rPr>
          <w:rFonts w:ascii="Calibri" w:hAnsi="Calibri"/>
          <w:b w:val="0"/>
          <w:i w:val="0"/>
          <w:color w:val="1A5276"/>
          <w:sz w:val="22"/>
        </w:rPr>
        <w:t xml:space="preserve"> (não números soltos por projeto). Provável necessidade de uma camada de consolidação — dashboard do Jira ou planilha de indicadores organizacional. Definir no Plano de Medição.</w:t>
      </w:r>
    </w:p>
    <w:p>
      <w:pPr>
        <w:pStyle w:val="Heading2"/>
        <w:keepNext/>
        <w:keepLines/>
      </w:pPr>
      <w:r>
        <w:t>CAP — Capacitação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1+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Necessidades de capacitação identificadas + planos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PLA-CAP-001 §3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Treinamentos realizados e registrados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PLA-CAP-001 §4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(controle de capacitação)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Efetividade do programa avaliada e comunicada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PLA-CAP-001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Habilidades de instrutores e recursos mantidos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PLA-CAP-001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GDE — Gerência de Decisões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Diretrizes de quando usar decisão formal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PRO-GDE-001 §3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(gatilhos)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2–6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Problema, alternativas, critérios, métodos, avaliação e decisão registrados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PRO-GDE-001 §4-5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(processo + RAD)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GCO — Gerência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de configuração identificados + níveis de controle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PLA-GCO-001 §3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de GC e controle de mudanças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PLA-GCO-001 §4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Git/Azure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estabelecidas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PLA-GCO-001 §5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(tags/releases)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Git/Azure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itens e modificações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PLA-GCO-001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Git/Azure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configuração executadas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PLA-GCO-001 §7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(auditoria via GQA)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AQU — Aquisição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Critérios de avaliação de fornecedores + pedidos de proposta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PRO-AQU-001 §3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Respostas avaliadas e fornecedor selecionado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PRO-AQU-001 §4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Desempenho do fornecedor monitorado (acordo)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PRO-AQU-001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4+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das entregas do fornecedor documentada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PRO-AQU-001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DEF/ORG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AQU — DECISÃO v0.2: ÚLTIMO A PRODUZIR / CANDIDATO A NÃO-APLICÁVEL.</w:t>
      </w:r>
      <w:r>
        <w:rPr>
          <w:rFonts w:ascii="Calibri" w:hAnsi="Calibri"/>
          <w:b w:val="0"/>
          <w:i w:val="0"/>
          <w:color w:val="1A5276"/>
          <w:sz w:val="22"/>
        </w:rPr>
        <w:t xml:space="preserve"> A TIMEWARE confirmou que </w:t>
      </w:r>
      <w:r>
        <w:rPr>
          <w:rFonts w:ascii="Calibri" w:hAnsi="Calibri"/>
          <w:b/>
          <w:i w:val="0"/>
          <w:color w:val="1A5276"/>
          <w:sz w:val="22"/>
        </w:rPr>
        <w:t>nenhum dos 4 projetos</w:t>
      </w:r>
      <w:r>
        <w:rPr>
          <w:rFonts w:ascii="Calibri" w:hAnsi="Calibri"/>
          <w:b w:val="0"/>
          <w:i w:val="0"/>
          <w:color w:val="1A5276"/>
          <w:sz w:val="22"/>
        </w:rPr>
        <w:t xml:space="preserve"> da avaliação tem aquisição/subcontratação de desenvolvimento (todo o desenvolvimento é feito por colaboradores próprios sob gestão da TIMEWARE). Ação: (1) confirmar a não-aplicabilidade com o </w:t>
      </w:r>
      <w:r>
        <w:rPr>
          <w:rFonts w:ascii="Calibri" w:hAnsi="Calibri"/>
          <w:b/>
          <w:i w:val="0"/>
          <w:color w:val="1A5276"/>
          <w:sz w:val="22"/>
        </w:rPr>
        <w:t>avaliador líder da ASR</w:t>
      </w:r>
      <w:r>
        <w:rPr>
          <w:rFonts w:ascii="Calibri" w:hAnsi="Calibri"/>
          <w:b w:val="0"/>
          <w:i w:val="0"/>
          <w:color w:val="1A5276"/>
          <w:sz w:val="22"/>
        </w:rPr>
        <w:t xml:space="preserve">; (2) se a ASR exigir, produzir apenas a versão organizacional enxuta (Critérios de Seleção + Template de Acordo/Monitoramento) "na prateleira". </w:t>
      </w:r>
      <w:r>
        <w:rPr>
          <w:rFonts w:ascii="Calibri" w:hAnsi="Calibri"/>
          <w:b/>
          <w:i w:val="0"/>
          <w:color w:val="1A5276"/>
          <w:sz w:val="22"/>
        </w:rPr>
        <w:t>Não bloqueia o restante da implantação.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FASE 3 — EXECUÇÃO DE PROJETO</w:t>
      </w:r>
    </w:p>
    <w:p>
      <w:pPr>
        <w:pStyle w:val="Heading2"/>
        <w:keepNext/>
        <w:keepLines/>
      </w:pPr>
      <w:r>
        <w:t>GPR — Gerência de Projetos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estabelecido e mantido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/ Escopo (no Plano de Projeto)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2+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definido para o projeto (adaptado do padrão)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Registro de Adaptação do Processo (Tailoring)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Estimativas de dimensão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estimativa de dimensão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4+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Estimativas de esforço, duração, custo (baseadas no repositório)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estimativas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Orçamento e cronograma com marcos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Cronograma + orçamento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humanos planejados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recursos humanos (no Plano)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7+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materiais e ambiente de trabalho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recursos materiais/ambiente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transição p/ operação e suporte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transição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Envolvimento das partes interessadas planejado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comunicação/partes interessadas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10+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Riscos/oportunidades do projeto tratados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riscos do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Viabilidade do projeto avaliada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viabilidade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12+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geral integrado e mantido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Template de Plano de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revisado com interessados + compromisso obtido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revisão/compromisso do plano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14+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do planejado vs. realizado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Template de Relatório de Acompanhamento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Envolvimento das partes interessadas monitorado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(no relatório de acompanhamento)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Transição monitorada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(no relatório de acompanhamento)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17+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 monitorados e comunicados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(no registro de riscos)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18+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Ações corretivas identificadas e acompanhadas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ações/issues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19+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Resultados significativos analisados (causas)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causas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Mudanças eficazes propostas como melhoria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(alimenta GPC 4)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REQ — Engenharia de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Necessidades das partes interessadas identificadas + entendimento confirmado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 de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2+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especificados, priorizados, alocados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(no Documento de Requisitos)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da equipe técnica obtido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Ata/registro de compromisso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bidirecional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Matriz de Rastreabilidade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Planos/produtos revisados vs.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de consistência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analisados (necessários e suficientes)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validados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validação de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PCP — Projeto e Construção do Produto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desenvolvido com solução baseada em critérios + rastreável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 de Design / Arquitetura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avaliado e problemas tratados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implementado conforme design + informações mantidas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Código/build + documentação técnica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Git/Azure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ITP — Integração do Produto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+ interfaces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Estratégia/Plano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integração estabelecido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 ambiente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Componentes avaliados antes de integrar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prontidão de componente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Componentes integrados conforme estratégia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5+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integrado testado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testes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material de apoio entregues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entrega + material de apoio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VV — Verificação e Validação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(resumo)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de evidência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Produtos a verificar/validar selecionados (testes + revisão por pares)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Plano de V&amp;V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Procedimentos e material p/ revisão por pares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Template de Revisão por Pares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 + 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Template→Registros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3+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Métodos, critérios e ambientes de V&amp;V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(no Plano de V&amp;V)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Atividades de V&amp;V realizadas + problemas tratados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teste + revisão por pares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Resultados analisados, registrados e comunicados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V&amp;V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V&amp;V — nota de ferramenta (v0.2):</w:t>
      </w:r>
      <w:r>
        <w:rPr>
          <w:rFonts w:ascii="Calibri" w:hAnsi="Calibri"/>
          <w:b w:val="0"/>
          <w:i w:val="0"/>
          <w:color w:val="1A5276"/>
          <w:sz w:val="22"/>
        </w:rPr>
        <w:t xml:space="preserve"> testes registrados em </w:t>
      </w:r>
      <w:r>
        <w:rPr>
          <w:rFonts w:ascii="Calibri" w:hAnsi="Calibri"/>
          <w:b/>
          <w:i w:val="0"/>
          <w:color w:val="1A5276"/>
          <w:sz w:val="22"/>
        </w:rPr>
        <w:t>Azure Test Plans + Jira/Xray</w:t>
      </w:r>
      <w:r>
        <w:rPr>
          <w:rFonts w:ascii="Calibri" w:hAnsi="Calibri"/>
          <w:b w:val="0"/>
          <w:i w:val="0"/>
          <w:color w:val="1A5276"/>
          <w:sz w:val="22"/>
        </w:rPr>
        <w:t>. Fluxo aceito: casos de teste começam em planilha e depois são importados para a ferramenta — documentar isso explicitamente no Plano de V&amp;V para o avaliador entender que é intencional. Revisão por pares pode ser evidenciada via pull request (Git/Azure) + registro de revisão.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FASE 4 — CAPACIDADE (TRANSVERSAL A TODOS OS 13 PROCESSOS)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Atenção:</w:t>
      </w:r>
      <w:r>
        <w:rPr>
          <w:rFonts w:ascii="Calibri" w:hAnsi="Calibri"/>
          <w:b w:val="0"/>
          <w:i w:val="0"/>
          <w:color w:val="1A5276"/>
          <w:sz w:val="22"/>
        </w:rPr>
        <w:t xml:space="preserve"> os atributos CP-E/D/C </w:t>
      </w:r>
      <w:r>
        <w:rPr>
          <w:rFonts w:ascii="Calibri" w:hAnsi="Calibri"/>
          <w:b/>
          <w:i w:val="0"/>
          <w:color w:val="1A5276"/>
          <w:sz w:val="22"/>
        </w:rPr>
        <w:t>não são um processo separado</w:t>
      </w:r>
      <w:r>
        <w:rPr>
          <w:rFonts w:ascii="Calibri" w:hAnsi="Calibri"/>
          <w:b w:val="0"/>
          <w:i w:val="0"/>
          <w:color w:val="1A5276"/>
          <w:sz w:val="22"/>
        </w:rPr>
        <w:t xml:space="preserve">. São exigências de </w:t>
      </w:r>
      <w:r>
        <w:rPr>
          <w:rFonts w:ascii="Calibri" w:hAnsi="Calibri"/>
          <w:b w:val="0"/>
          <w:i/>
          <w:color w:val="1A5276"/>
          <w:sz w:val="22"/>
        </w:rPr>
        <w:t>institucionalização</w:t>
      </w:r>
      <w:r>
        <w:rPr>
          <w:rFonts w:ascii="Calibri" w:hAnsi="Calibri"/>
          <w:b w:val="0"/>
          <w:i w:val="0"/>
          <w:color w:val="1A5276"/>
          <w:sz w:val="22"/>
        </w:rPr>
        <w:t xml:space="preserve"> que o avaliador verifica para </w:t>
      </w:r>
      <w:r>
        <w:rPr>
          <w:rFonts w:ascii="Calibri" w:hAnsi="Calibri"/>
          <w:b/>
          <w:i w:val="0"/>
          <w:color w:val="1A5276"/>
          <w:sz w:val="22"/>
        </w:rPr>
        <w:t>cada um</w:t>
      </w:r>
      <w:r>
        <w:rPr>
          <w:rFonts w:ascii="Calibri" w:hAnsi="Calibri"/>
          <w:b w:val="0"/>
          <w:i w:val="0"/>
          <w:color w:val="1A5276"/>
          <w:sz w:val="22"/>
        </w:rPr>
        <w:t xml:space="preserve"> dos 13 processos. É o que diferencia o Nível C de níveis iniciais.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 (CP-E/D/C)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exige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evidenciamos (transversal)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(i) Processo produz resultados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processo realmente funciona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uso em cada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(ii) Processo-padrão + diretrizes de adaptação usados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Planejar/executar/monitorar com papéis, infra, produtos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Tailoring (GPR 2+) + processo-padrão (GPC 2+)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(iii) Pessoas preparadas para o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Capacitação adequada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Capacitação (CAP) + registros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(iv) Verificação objetiva de que o processo é seguido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aderência ao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Registros de Garantia da Qualidade (GQA)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(v) Produtos de trabalho avaliados objetivamente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produtos vs. 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GQA de produtos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(vi) Oportunidades de melhoria identificadas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Durante a garantia da qualidade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Alimenta GPC 4 (oport. de melhoria)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(vii) Informações disponibilizadas à organização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ativos/medidas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Biblioteca de processos + repositório de medidas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Pendências de escopo — status (resolvidas em 02/06/2026)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Pendência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Portfólio (OSW 8/9/10)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Resolvido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 escopo.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TIMEWARE gerencia portfólio: recursos compartilhados (tech lead, arquiteto, PO) + gestão de capacity. Há quadro de capacity informal a formalizar.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Aquisição (AQU)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Resolvido (com 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Último a produzir / candidato a não-aplicável.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Nenhum dos 4 projetos tem aquisição. Confirmar não-aplicabilidade com o avaliador líder da ASR.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Os 4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🟨 Em andamento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projetos documentados: FTGASMIG (22 docs — OS-001 encerrada, OS-002 em andamento), FTFRUKI (32 docs — Pacote 1 encerrado Set/2025 + Pacote Final 24 encerrado Jan/2026), PROFARMA/Rede D1000 (18 docs — encerrado Jan/2026). AASP (3 projetos) ainda a documentar.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Ferramentas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Resolvido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(gestão de projeto, riscos, ações, repositório de medidas) · Git + Azure DevOps (código, baselines, integração/CI-CD) · Azure Test Plans + Jira/Xray (testes) · Confluence (definições/registros).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(GQA)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Resolvido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Pessoa/área de GQA existe na TIMEWARE. Detalhar nome/papel ao produzir a Estratégia de GQA (GPC 3).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que seguem como ação aberta (não bloqueiam a produção):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Confirmar não-aplicabilidade do AQU com a ASR (ponto 2).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Definir os 4 projetos antes da Fase 3 (ponto 3).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MED: definir camada de consolidação de indicadores (dashboard Jira ou planilha organizacional).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Próximos passos sugeridos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✅ </w:t>
      </w:r>
      <w:r>
        <w:rPr>
          <w:rFonts w:ascii="Calibri" w:hAnsi="Calibri"/>
          <w:b/>
          <w:i w:val="0"/>
          <w:sz w:val="22"/>
        </w:rPr>
        <w:t>Fase 1 — Governança:</w:t>
      </w:r>
      <w:r>
        <w:rPr>
          <w:rFonts w:ascii="Calibri" w:hAnsi="Calibri"/>
          <w:b w:val="0"/>
          <w:i w:val="0"/>
          <w:sz w:val="22"/>
        </w:rPr>
        <w:t xml:space="preserve"> todos os documentos prontos (OSW, GPC)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✅ </w:t>
      </w:r>
      <w:r>
        <w:rPr>
          <w:rFonts w:ascii="Calibri" w:hAnsi="Calibri"/>
          <w:b/>
          <w:i w:val="0"/>
          <w:sz w:val="22"/>
        </w:rPr>
        <w:t>Fase 2 — Apoio organizacional:</w:t>
      </w:r>
      <w:r>
        <w:rPr>
          <w:rFonts w:ascii="Calibri" w:hAnsi="Calibri"/>
          <w:b w:val="0"/>
          <w:i w:val="0"/>
          <w:sz w:val="22"/>
        </w:rPr>
        <w:t xml:space="preserve"> todos os documentos prontos (MED, CAP, GDE, GCO, AQU)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✅ </w:t>
      </w:r>
      <w:r>
        <w:rPr>
          <w:rFonts w:ascii="Calibri" w:hAnsi="Calibri"/>
          <w:b/>
          <w:i w:val="0"/>
          <w:sz w:val="22"/>
        </w:rPr>
        <w:t>Fase 3 — Processos de projeto (camada organizacional):</w:t>
      </w:r>
      <w:r>
        <w:rPr>
          <w:rFonts w:ascii="Calibri" w:hAnsi="Calibri"/>
          <w:b w:val="0"/>
          <w:i w:val="0"/>
          <w:sz w:val="22"/>
        </w:rPr>
        <w:t xml:space="preserve"> definições e templates prontos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🟨 </w:t>
      </w:r>
      <w:r>
        <w:rPr>
          <w:rFonts w:ascii="Calibri" w:hAnsi="Calibri"/>
          <w:b/>
          <w:i w:val="0"/>
          <w:sz w:val="22"/>
        </w:rPr>
        <w:t>Fase 3 — Evidências de projeto:</w:t>
      </w:r>
      <w:r>
        <w:rPr>
          <w:rFonts w:ascii="Calibri" w:hAnsi="Calibri"/>
          <w:b w:val="0"/>
          <w:i w:val="0"/>
          <w:sz w:val="22"/>
        </w:rPr>
        <w:t xml:space="preserve"> 3 projetos documentados (FTGASMIG, FTFRUKI, PROFARMA/D1000); faltam 3 projetos AASP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⬜ </w:t>
      </w:r>
      <w:r>
        <w:rPr>
          <w:rFonts w:ascii="Calibri" w:hAnsi="Calibri"/>
          <w:b/>
          <w:i w:val="0"/>
          <w:sz w:val="22"/>
        </w:rPr>
        <w:t>Documentar projetos AASP</w:t>
      </w:r>
      <w:r>
        <w:rPr>
          <w:rFonts w:ascii="Calibri" w:hAnsi="Calibri"/>
          <w:b w:val="0"/>
          <w:i w:val="0"/>
          <w:sz w:val="22"/>
        </w:rPr>
        <w:t xml:space="preserve"> (Andamento-Processuais, Automacao-Governanca, CNJ) para fechar os 4+ projetos exigidos pela avaliação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⬜ </w:t>
      </w:r>
      <w:r>
        <w:rPr>
          <w:rFonts w:ascii="Calibri" w:hAnsi="Calibri"/>
          <w:b/>
          <w:i w:val="0"/>
          <w:sz w:val="22"/>
        </w:rPr>
        <w:t>Confirmar AQU</w:t>
      </w:r>
      <w:r>
        <w:rPr>
          <w:rFonts w:ascii="Calibri" w:hAnsi="Calibri"/>
          <w:b w:val="0"/>
          <w:i w:val="0"/>
          <w:sz w:val="22"/>
        </w:rPr>
        <w:t xml:space="preserve"> com o avaliador líder da ASR (não-aplicabilidade ou versão enxuta)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⬜ </w:t>
      </w:r>
      <w:r>
        <w:rPr>
          <w:rFonts w:ascii="Calibri" w:hAnsi="Calibri"/>
          <w:b/>
          <w:i w:val="0"/>
          <w:sz w:val="22"/>
        </w:rPr>
        <w:t>Planilha-mestre de evidências</w:t>
      </w:r>
      <w:r>
        <w:rPr>
          <w:rFonts w:ascii="Calibri" w:hAnsi="Calibri"/>
          <w:b w:val="0"/>
          <w:i w:val="0"/>
          <w:sz w:val="22"/>
        </w:rPr>
        <w:t xml:space="preserve"> para entrega à ASR antes da avaliação inicial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Observação de auditoria: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mapa também serve de evidência para GPC 1 (identificação de ativos de processo) e como rastreabilidade entre resultados esperados e artefatos — algo que a ASR vai querer ver logo no início.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v0.40 (rascunho)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v0.40 (rascunho)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Pasta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