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1F497D"/>
          <w:sz w:val="32"/>
        </w:rPr>
        <w:t>Gestão de Portfólio de Projetos — TIMEWARE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Campo</w:t>
            </w:r>
          </w:p>
        </w:tc>
        <w:tc>
          <w:tcPr>
            <w:tcW w:type="dxa" w:w="468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Valor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Documento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PRO-OSW-002 — Gestão de Portfólio de Projetos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Versão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1.3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Data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13/06/2026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Organização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Aprovação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COO (Operações)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Ativo de processo organizacional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1. Propósito</w:t>
      </w:r>
    </w:p>
    <w:p>
      <w:pPr>
        <w:spacing w:after="80"/>
      </w:pPr>
      <w:r>
        <w:rPr>
          <w:b w:val="0"/>
          <w:i w:val="0"/>
          <w:sz w:val="20"/>
        </w:rPr>
        <w:t xml:space="preserve">Este documento define como a Timeware gerencia seu </w:t>
      </w:r>
      <w:r>
        <w:rPr>
          <w:b/>
          <w:i w:val="0"/>
          <w:sz w:val="20"/>
        </w:rPr>
        <w:t>portfólio de projetos</w:t>
      </w:r>
      <w:r>
        <w:rPr>
          <w:b w:val="0"/>
          <w:i w:val="0"/>
          <w:sz w:val="20"/>
        </w:rPr>
        <w:t xml:space="preserve"> — o conjunto de projetos em andamento, olhados de forma consolidada — priorizando oportunidades, alocando recursos compartilhados e acompanhando os projetos quanto aos compromissos assumidos. A gestão do portfólio é responsabilidade das Operações (COO), por meio do escritório de portfólio de projetos.</w:t>
      </w:r>
    </w:p>
    <w:p>
      <w:pPr>
        <w:pStyle w:val="Heading2"/>
      </w:pPr>
      <w:r>
        <w:rPr>
          <w:b/>
          <w:color w:val="2E74B5"/>
          <w:sz w:val="26"/>
        </w:rPr>
        <w:t>2. Contexto</w:t>
      </w:r>
    </w:p>
    <w:p>
      <w:pPr>
        <w:spacing w:after="80"/>
      </w:pPr>
      <w:r>
        <w:rPr>
          <w:b w:val="0"/>
          <w:i w:val="0"/>
          <w:sz w:val="20"/>
        </w:rPr>
        <w:t xml:space="preserve">A Timeware conduz múltiplos projetos de software sob medida simultaneamente. Alguns recursos são </w:t>
      </w:r>
      <w:r>
        <w:rPr>
          <w:b/>
          <w:i w:val="0"/>
          <w:sz w:val="20"/>
        </w:rPr>
        <w:t>dedicados a um único projeto</w:t>
      </w:r>
      <w:r>
        <w:rPr>
          <w:b w:val="0"/>
          <w:i w:val="0"/>
          <w:sz w:val="20"/>
        </w:rPr>
        <w:t xml:space="preserve"> (por exemplo, desenvolvedores), enquanto outros são </w:t>
      </w:r>
      <w:r>
        <w:rPr>
          <w:b/>
          <w:i w:val="0"/>
          <w:sz w:val="20"/>
        </w:rPr>
        <w:t>compartilhados entre projetos</w:t>
      </w:r>
      <w:r>
        <w:rPr>
          <w:b w:val="0"/>
          <w:i w:val="0"/>
          <w:sz w:val="20"/>
        </w:rPr>
        <w:t xml:space="preserve"> — notadamente Tech Lead, Arquiteto e Product Owner. Essa característica cria a necessidade de gerenciar o portfólio, equilibrando a demanda dos projetos com a capacidade disponível desses recursos compartilhados.</w:t>
      </w:r>
    </w:p>
    <w:p>
      <w:pPr>
        <w:pStyle w:val="Heading2"/>
      </w:pPr>
      <w:r>
        <w:rPr>
          <w:b/>
          <w:color w:val="2E74B5"/>
          <w:sz w:val="26"/>
        </w:rPr>
        <w:t>3. Priorização de oportunidades e projetos</w:t>
      </w:r>
    </w:p>
    <w:p>
      <w:pPr>
        <w:spacing w:after="80"/>
      </w:pPr>
      <w:r>
        <w:rPr>
          <w:b w:val="0"/>
          <w:i w:val="0"/>
          <w:sz w:val="20"/>
        </w:rPr>
        <w:t>As oportunidades de negócio e os projetos são priorizados pelo COO (Operações), considerando critérios como: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alinhamento com os objetivos de negócio (crescer com qualidade e previsibilidade);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compromissos contratuais e prazos com clientes;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disponibilidade de recursos, especialmente os compartilhados;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retorno e relevância estratégica.</w:t>
      </w:r>
    </w:p>
    <w:p>
      <w:pPr>
        <w:spacing w:after="80"/>
      </w:pPr>
      <w:r>
        <w:rPr>
          <w:b w:val="0"/>
          <w:i w:val="0"/>
          <w:sz w:val="20"/>
        </w:rPr>
        <w:t>A priorização define quais projetos a organização assume e em que ordem de prioridade, de forma que os compromissos assumidos sejam compatíveis com a capacidade real da organização.</w:t>
      </w:r>
    </w:p>
    <w:p>
      <w:pPr>
        <w:pStyle w:val="Heading2"/>
      </w:pPr>
      <w:r>
        <w:rPr>
          <w:b/>
          <w:color w:val="2E74B5"/>
          <w:sz w:val="26"/>
        </w:rPr>
        <w:t>4. Recursos, capacidade e autoridade</w:t>
      </w:r>
    </w:p>
    <w:p>
      <w:pPr>
        <w:pStyle w:val="Heading3"/>
      </w:pPr>
      <w:r>
        <w:rPr>
          <w:b/>
          <w:color w:val="1F497D"/>
          <w:sz w:val="22"/>
        </w:rPr>
        <w:t>4.1. Gestão de capacidade (capacity)</w:t>
      </w:r>
    </w:p>
    <w:p>
      <w:pPr>
        <w:spacing w:after="80"/>
      </w:pPr>
      <w:r>
        <w:rPr>
          <w:b w:val="0"/>
          <w:i w:val="0"/>
          <w:sz w:val="20"/>
        </w:rPr>
        <w:t xml:space="preserve">A Timeware mantém um </w:t>
      </w:r>
      <w:r>
        <w:rPr>
          <w:b/>
          <w:i w:val="0"/>
          <w:sz w:val="20"/>
        </w:rPr>
        <w:t>quadro de capacity</w:t>
      </w:r>
      <w:r>
        <w:rPr>
          <w:b w:val="0"/>
          <w:i w:val="0"/>
          <w:sz w:val="20"/>
        </w:rPr>
        <w:t xml:space="preserve"> que registra a alocação dos recursos compartilhados (Tech Lead, Arquiteto, PO) entre os projetos. O quadro permite visualizar a ocupação desses recursos e identificar conflitos de alocação antes que afetem os projetos.</w:t>
      </w:r>
    </w:p>
    <w:p>
      <w:pPr>
        <w:spacing w:after="80"/>
      </w:pPr>
      <w:r>
        <w:rPr>
          <w:b w:val="0"/>
          <w:i w:val="0"/>
          <w:sz w:val="20"/>
        </w:rPr>
        <w:t>Quando a demanda excede a capacidade disponível, a organização atua de duas formas:</w:t>
      </w:r>
    </w:p>
    <w:p>
      <w:pPr>
        <w:pStyle w:val="ListBullet"/>
        <w:spacing w:before="0" w:after="0"/>
      </w:pPr>
      <w:r>
        <w:rPr>
          <w:b/>
          <w:i w:val="0"/>
          <w:sz w:val="20"/>
        </w:rPr>
        <w:t>realoca recursos</w:t>
      </w:r>
      <w:r>
        <w:rPr>
          <w:b w:val="0"/>
          <w:i w:val="0"/>
          <w:sz w:val="20"/>
        </w:rPr>
        <w:t xml:space="preserve"> de colaboradores da Timeware de fora da unidade, quando disponíveis;</w:t>
      </w:r>
    </w:p>
    <w:p>
      <w:pPr>
        <w:pStyle w:val="ListBullet"/>
        <w:spacing w:before="0" w:after="0"/>
      </w:pPr>
      <w:r>
        <w:rPr>
          <w:b/>
          <w:i w:val="0"/>
          <w:sz w:val="20"/>
        </w:rPr>
        <w:t>contrata</w:t>
      </w:r>
      <w:r>
        <w:rPr>
          <w:b w:val="0"/>
          <w:i w:val="0"/>
          <w:sz w:val="20"/>
        </w:rPr>
        <w:t xml:space="preserve"> novos recursos, quando necessário.</w:t>
      </w:r>
    </w:p>
    <w:p>
      <w:pPr>
        <w:pStyle w:val="Heading4"/>
      </w:pPr>
      <w:r>
        <w:rPr>
          <w:b/>
          <w:sz w:val="20"/>
        </w:rPr>
        <w:t>Estrutura do quadro de capacity</w:t>
      </w:r>
    </w:p>
    <w:p>
      <w:pPr>
        <w:spacing w:after="80"/>
      </w:pPr>
      <w:r>
        <w:rPr>
          <w:b w:val="0"/>
          <w:i w:val="0"/>
          <w:sz w:val="20"/>
        </w:rPr>
        <w:t>O quadro de capacity é mantido no Jira (ou página estruturada no Confluence), com os seguintes campos mínimos: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Campo</w:t>
            </w:r>
          </w:p>
        </w:tc>
        <w:tc>
          <w:tcPr>
            <w:tcW w:type="dxa" w:w="468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Descrição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Colaborador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Nome/papel do recurso compartilhado (Tech Lead, Arquiteto, PO)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Projeto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Projeto(s) ao(s) qual(is) está alocado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Alocação (%)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Percentual da capacidade dedicado a cada projeto no período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Sprint ou mês de referência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Status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Disponível · Alocado · Sobrecarregado</w:t>
            </w:r>
          </w:p>
        </w:tc>
      </w:tr>
    </w:tbl>
    <w:p/>
    <w:p>
      <w:pPr>
        <w:spacing w:after="80"/>
      </w:pPr>
      <w:r>
        <w:rPr>
          <w:b/>
          <w:i w:val="0"/>
          <w:sz w:val="20"/>
        </w:rPr>
        <w:t>Cadência de atualização:</w:t>
      </w:r>
      <w:r>
        <w:rPr>
          <w:b w:val="0"/>
          <w:i w:val="0"/>
          <w:sz w:val="20"/>
        </w:rPr>
        <w:t xml:space="preserve"> o quadro é revisado antes do início de cada sprint e sempre que ocorre mudança de alocação.</w:t>
      </w:r>
    </w:p>
    <w:p>
      <w:pPr>
        <w:spacing w:after="80"/>
      </w:pPr>
      <w:r>
        <w:rPr>
          <w:b/>
          <w:i w:val="0"/>
          <w:sz w:val="20"/>
        </w:rPr>
        <w:t>Responsável pela manutenção:</w:t>
      </w:r>
      <w:r>
        <w:rPr>
          <w:b w:val="0"/>
          <w:i w:val="0"/>
          <w:sz w:val="20"/>
        </w:rPr>
        <w:t xml:space="preserve"> COO (Operações), com apoio dos Gerentes de Projeto.</w:t>
      </w:r>
    </w:p>
    <w:p>
      <w:pPr>
        <w:spacing w:after="80"/>
      </w:pPr>
      <w:r>
        <w:rPr>
          <w:b/>
          <w:i w:val="0"/>
          <w:sz w:val="20"/>
        </w:rPr>
        <w:t>Critério de escalada:</w:t>
      </w:r>
      <w:r>
        <w:rPr>
          <w:b w:val="0"/>
          <w:i w:val="0"/>
          <w:sz w:val="20"/>
        </w:rPr>
        <w:t xml:space="preserve"> quando um recurso compartilhado ultrapassa 100% de alocação por duas sprints consecutivas, o COO convoca reunião de repriorização com os GPs envolvidos para ajustar escopo ou prazos.</w:t>
      </w:r>
    </w:p>
    <w:p>
      <w:pPr>
        <w:pStyle w:val="Heading3"/>
      </w:pPr>
      <w:r>
        <w:rPr>
          <w:b/>
          <w:color w:val="1F497D"/>
          <w:sz w:val="22"/>
        </w:rPr>
        <w:t>4.2. Autoridade</w:t>
      </w:r>
    </w:p>
    <w:p>
      <w:pPr>
        <w:spacing w:after="80"/>
      </w:pPr>
      <w:r>
        <w:rPr>
          <w:b w:val="0"/>
          <w:i w:val="0"/>
          <w:sz w:val="20"/>
        </w:rPr>
        <w:t xml:space="preserve">A autoridade para decidir sobre a priorização do portfólio e a alocação de recursos compartilhados é do </w:t>
      </w:r>
      <w:r>
        <w:rPr>
          <w:b/>
          <w:i w:val="0"/>
          <w:sz w:val="20"/>
        </w:rPr>
        <w:t>COO (Operações)</w:t>
      </w:r>
      <w:r>
        <w:rPr>
          <w:b w:val="0"/>
          <w:i w:val="0"/>
          <w:sz w:val="20"/>
        </w:rPr>
        <w:t>, responsável pelo escritório de portfólio de projetos, apoiado pelas informações de capacity e pela situação dos projetos. Decisões de natureza estratégica são reportadas ao CEO.</w:t>
      </w:r>
    </w:p>
    <w:p>
      <w:pPr>
        <w:pStyle w:val="Heading2"/>
      </w:pPr>
      <w:r>
        <w:rPr>
          <w:b/>
          <w:color w:val="2E74B5"/>
          <w:sz w:val="26"/>
        </w:rPr>
        <w:t>5. Acompanhamento do portfólio</w:t>
      </w:r>
    </w:p>
    <w:p>
      <w:pPr>
        <w:spacing w:after="80"/>
      </w:pPr>
      <w:r>
        <w:rPr>
          <w:b w:val="0"/>
          <w:i w:val="0"/>
          <w:sz w:val="20"/>
        </w:rPr>
        <w:t>Os projetos do portfólio são acompanhados de forma consolidada quanto ao cumprimento dos compromissos (prazo, escopo, recursos). O acompanhamento: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consolida a situação dos projetos em andamento;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identifica projetos que se desviam dos acordos assumidos;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direciona o tratamento dos desvios — realocação de recursos, repriorização ou ações específicas no projeto.</w:t>
      </w:r>
    </w:p>
    <w:p>
      <w:pPr>
        <w:spacing w:after="80"/>
      </w:pPr>
      <w:r>
        <w:rPr>
          <w:b w:val="0"/>
          <w:i w:val="0"/>
          <w:sz w:val="20"/>
        </w:rPr>
        <w:t xml:space="preserve">O acompanhamento do portfólio é apoiado pelas informações do Jira (situação dos projetos) e pelo quadro de capacity, e é tratado nas análises críticas pela direção (PRO-OSW-001). A consolidação periódica dessa operação, para fins de governança e auditoria, é registrada no </w:t>
      </w:r>
      <w:r>
        <w:rPr>
          <w:b/>
          <w:i w:val="0"/>
          <w:sz w:val="20"/>
        </w:rPr>
        <w:t>Painel de Portfólio (REG-OSW-001)</w:t>
      </w:r>
      <w:r>
        <w:rPr>
          <w:b w:val="0"/>
          <w:i w:val="0"/>
          <w:sz w:val="20"/>
        </w:rPr>
        <w:t>.</w:t>
      </w:r>
    </w:p>
    <w:p>
      <w:pPr>
        <w:pStyle w:val="Heading2"/>
      </w:pPr>
      <w:r>
        <w:rPr>
          <w:b/>
          <w:color w:val="2E74B5"/>
          <w:sz w:val="26"/>
        </w:rPr>
        <w:t>6. Papéis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Papel</w:t>
            </w:r>
          </w:p>
        </w:tc>
        <w:tc>
          <w:tcPr>
            <w:tcW w:type="dxa" w:w="468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Responsabilidade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COO (Operações)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Prioriza o portfólio; decide alocação de recursos compartilhados; acompanha os projetos consolidadamente; reporta ao CEO o que for estratégico.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Gerentes de Projeto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Reportam a situação de seus projetos; sinalizam necessidades e conflitos de recursos.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Time de Melhoria Contínua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Apoia com informações de capacity e indicadores; trata riscos organizacionais relacionados ao portfólio.</w:t>
            </w:r>
          </w:p>
        </w:tc>
      </w:tr>
    </w:tbl>
    <w:p/>
    <w:p>
      <w:pPr>
        <w:pStyle w:val="Heading2"/>
      </w:pPr>
      <w:r>
        <w:rPr>
          <w:b/>
          <w:color w:val="2E74B5"/>
          <w:sz w:val="26"/>
        </w:rPr>
        <w:t>7. Documentos relacionados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POL-ORG-001 — Política Organizacional de Processos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PRO-OSW-001 — Governança Organizacional de Processos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EST-GPC-002 — Estratégia de Gerência de Riscos e Oportunidades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REG-OSW-001 — Painel de Portfólio de Projetos (registro consolidado)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Processo de Gerência de Projetos (GPR)</w:t>
      </w:r>
    </w:p>
    <w:p>
      <w:pPr>
        <w:pStyle w:val="Heading2"/>
      </w:pPr>
      <w:r>
        <w:rPr>
          <w:b/>
          <w:color w:val="2E74B5"/>
          <w:sz w:val="26"/>
        </w:rPr>
        <w:t>8. Rastreabilidade e instrução para auditoria</w:t>
      </w:r>
    </w:p>
    <w:p>
      <w:pPr>
        <w:spacing w:after="80"/>
      </w:pPr>
      <w:r>
        <w:rPr>
          <w:b w:val="0"/>
          <w:i/>
          <w:sz w:val="20"/>
        </w:rPr>
        <w:t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spacing w:after="80"/>
      </w:pPr>
      <w:r>
        <w:rPr>
          <w:b w:val="0"/>
          <w:i w:val="0"/>
          <w:sz w:val="20"/>
        </w:rPr>
        <w:t xml:space="preserve">Este documento corresponde aos resultados </w:t>
      </w:r>
      <w:r>
        <w:rPr>
          <w:b/>
          <w:i w:val="0"/>
          <w:sz w:val="20"/>
        </w:rPr>
        <w:t>OSW 8, 9, 10</w:t>
      </w:r>
      <w:r>
        <w:rPr>
          <w:b w:val="0"/>
          <w:i w:val="0"/>
          <w:sz w:val="20"/>
        </w:rPr>
        <w:t xml:space="preserve"> do processo </w:t>
      </w:r>
      <w:r>
        <w:rPr>
          <w:b/>
          <w:i w:val="0"/>
          <w:sz w:val="20"/>
        </w:rPr>
        <w:t>Gerência Organizacional de Software (OSW)</w:t>
      </w:r>
      <w:r>
        <w:rPr>
          <w:b w:val="0"/>
          <w:i w:val="0"/>
          <w:sz w:val="20"/>
        </w:rPr>
        <w:t xml:space="preserve"> do MR-MPS-SW:2024.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Resultado</w:t>
            </w:r>
          </w:p>
        </w:tc>
        <w:tc>
          <w:tcPr>
            <w:tcW w:type="dxa" w:w="468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Onde é atendido neste documento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OSW 8 — oportunidades de negócio/investimentos priorizados (portfólio)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Seção 3; evidência consolidada em REG-OSW-001 §3–4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OSW 9 — recursos, orçamento e autoridade do portfólio estabelecidos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Seção 4; evidência consolidada em REG-OSW-001 §5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OSW 10 — projetos do portfólio mantidos e tratados conforme os acordos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Seção 5; evidência consolidada em REG-OSW-001 §7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Versão</w:t>
            </w:r>
          </w:p>
        </w:tc>
        <w:tc>
          <w:tcPr>
            <w:tcW w:type="dxa" w:w="234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Data</w:t>
            </w:r>
          </w:p>
        </w:tc>
        <w:tc>
          <w:tcPr>
            <w:tcW w:type="dxa" w:w="234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Autor</w:t>
            </w:r>
          </w:p>
        </w:tc>
        <w:tc>
          <w:tcPr>
            <w:tcW w:type="dxa" w:w="234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Descrição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1.0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29/08/2025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Definição inicial da gestão de portfólio de projetos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1.1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24/11/2025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Atribuição da autoridade do portfólio ao COO (escritório de portfólio de projetos)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1.2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20/03/2026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Detalhamento da estrutura e cadência do quadro de capacity (§4.1): campos, responsável e critério de escalada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1.3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13/06/2026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Referência ao Painel de Portfólio (REG-OSW-001) como registro consolidado do acompanhamento (§5, §7 e §8 de rastreabilidade)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