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497D"/>
          <w:sz w:val="32"/>
        </w:rPr>
        <w:t>Registro de Adaptação do Processo — SuperApp Fruki · Pacote Final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Campo</w:t>
            </w:r>
          </w:p>
        </w:tc>
        <w:tc>
          <w:tcPr>
            <w:tcW w:type="dxa" w:w="468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Documento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ADAP-FRUKI01-002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Projeto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SuperApp Fruki — Pacote Final 24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Versão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1.2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Data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13/06/2026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Responsável pela adaptação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Abraão Oliveira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74B5"/>
          <w:sz w:val="26"/>
        </w:rPr>
        <w:t>1. Decisões de adaptação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Eixo de adaptação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Decisão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Justificativa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Tipo de produto (com/sem front-end)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Com UX/UI — aplicativo mobile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Três novos módulos com interface React Native; todas as features envolvem telas e experiência de usuário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Origem dos requisitos e do design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Timeware elabora protótipos; cliente valida regras de negócio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Brenda Chrystie conduz design; Cecília Ribeiro e Alexsandro de Vargas Braga validam regras de cada módulo; APIs fornecidas por Jardel/Renan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Porte do projeto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Médio — nível de documentação padrão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 xml:space="preserve">Três módulos entregues em </w:t>
            </w:r>
            <w:r>
              <w:rPr>
                <w:b w:val="0"/>
                <w:i w:val="0"/>
                <w:sz w:val="20"/>
              </w:rPr>
              <w:t>3 meses; equipe de 5 pessoas; continuidade do Pacote 1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Equipe e papéis (acúmulo)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Abraão: GP + PO; Brenda: UX + analista de negócio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Mesma configuração do Pacote 1; equipe enxuta; viável dado o porte e familiaridade com o projeto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Criticidade e regulação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Padrão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Aplicativo comercial interno; sem regulação específica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Cadência de entrega ao cliente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Por módulo — entrega incremental mensal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Pedidos Não Alocados (out/2025) → Regra de Ouro (nov/2025) → PDV (dez/2025–jan/2026); entregas via PR no Azure DevOps e APK para testes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Adotado — Expo APK + branch feature no Azure DevOps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Builds de teste gerados via Expo antes de cada merge; revisão técnica do Jardel antes do merge na branch principal</w:t>
            </w:r>
          </w:p>
        </w:tc>
      </w:tr>
    </w:tbl>
    <w:p/>
    <w:p>
      <w:pPr>
        <w:pStyle w:val="Heading2"/>
      </w:pPr>
      <w:r>
        <w:rPr>
          <w:b/>
          <w:color w:val="2E74B5"/>
          <w:sz w:val="26"/>
        </w:rPr>
        <w:t>2. Etapas aplicáveis e não aplicáveis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Etapa / artefato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Aplicável?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Observação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Design de UX/UI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Protótipos para cada módulo (Não Alocados, Regra de Ouro, PDV) criados por Brenda e validados por Cecília antes de cada sprint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REQ-FRUKI01-002 — 10 RF e 5 RNF, levantados nas reuniões de entendimento de demanda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Plano de V&amp;V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Testes funcionais via APK com cliente; verificação técnica via revisão de PR pelo Jardel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Estratégia de integração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Aplicável — simplificada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 xml:space="preserve">Integração com APIs REST da Fruki via endpoints documentados; versionamento de branches no Azure DevOps. Ver </w:t>
            </w:r>
            <w:r>
              <w:rPr>
                <w:b w:val="0"/>
                <w:i w:val="0"/>
                <w:sz w:val="20"/>
              </w:rPr>
              <w:t>ITP-FRUKI01-002_Estrategia-de-Integracao-PacoteFinal24.md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Mapa de rastreabilidade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Requisitos rastreados aos módulos entregues e às PRs no Azure DevOps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Revisão por pares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Revisão técnica das PRs pelo Jardel (Fruki) antes do merge; revisão interna pela equipe Timeware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Registro de capacitação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Sem treinamento formal de usuários no escopo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Gestão de decisões arquiteturais (GDE)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Aplicável — simplificada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 xml:space="preserve">Decisão de renomeação "Caixa Preta" → "Regra de Ouro" registrada em </w:t>
            </w:r>
            <w:r>
              <w:rPr>
                <w:b w:val="0"/>
                <w:i w:val="0"/>
                <w:sz w:val="20"/>
              </w:rPr>
              <w:t>GDE-FRUKI01-001_Registro-de-Decisao.md</w:t>
            </w:r>
            <w:r>
              <w:rPr>
                <w:b w:val="0"/>
                <w:i w:val="0"/>
                <w:sz w:val="20"/>
              </w:rPr>
              <w:t xml:space="preserve"> — Decisão 2; arquitetura React Native já estabelecida no Pacote 1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Aquisição (AQU)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Igual ao Pacote 1: squad próprio Timeware, sem subcontratação de terceiro respondendo por entrega. APIs/dados fornecidos pela Fruki são insumos do cliente, fora do escopo de AQU (PRO-AQU-001 §2).</w:t>
            </w:r>
          </w:p>
        </w:tc>
      </w:tr>
    </w:tbl>
    <w:p/>
    <w:p>
      <w:pPr>
        <w:pStyle w:val="Heading2"/>
      </w:pPr>
      <w:r>
        <w:rPr>
          <w:b/>
          <w:color w:val="2E74B5"/>
          <w:sz w:val="26"/>
        </w:rPr>
        <w:t>3. Pontos de controle obrigatórios (não adaptáveis)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Requisitos especificados e validados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Plano de Projeto aprovado pelo cliente (baseline)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Definição de Pronto aplicada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Verificação e validação realizadas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Encerramento formal com aceite (Microsoft Teams — 15/01/2026)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74B5"/>
          <w:sz w:val="26"/>
        </w:rPr>
        <w:t>Controle de atualizações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Versão</w:t>
            </w:r>
          </w:p>
        </w:tc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Data</w:t>
            </w:r>
          </w:p>
        </w:tc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Autor</w:t>
            </w:r>
          </w:p>
        </w:tc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Descrição da mudança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Versão inicial — registro retroativo (projeto executado out/2025–jan/2026)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ITP-FRUKI01-002 e GDE-FRUKI01-001 referenciados explicitamente na tabela de etapas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Registrada explicitamente a não aplicabilidade do processo de Aquisição (AQU) neste pacote, conforme PRO-AQU-001 §2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