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497D"/>
          <w:sz w:val="32"/>
        </w:rPr>
        <w:t>Registro de Adaptação do Processo — Fundação Tecnológica GASMIG · OS-PARCELA-002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Campo</w:t>
            </w:r>
          </w:p>
        </w:tc>
        <w:tc>
          <w:tcPr>
            <w:tcW w:type="dxa" w:w="468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Documento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ADAP-GASMIG02-002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Projeto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Fundação Tecnológica GASMIG — OS-PARCELA-002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Versão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1.2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Data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13/06/2026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Responsável pela adaptação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Abraão Oliveira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Processo-padrão de referência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PRO-GPC-001 v2.2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Guia de adaptação de referência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GUIA-GPC-001 v1.2</w:t>
            </w:r>
          </w:p>
        </w:tc>
      </w:tr>
    </w:tbl>
    <w:p/>
    <w:p>
      <w:pPr>
        <w:ind w:left="432"/>
      </w:pPr>
      <w:r>
        <w:rPr>
          <w:b w:val="0"/>
          <w:i/>
          <w:color w:val="606060"/>
          <w:sz w:val="20"/>
        </w:rPr>
        <w:t>As mesmas decisões de adaptação da OS-PARCELA-001 (ADAP-GASMIG02-001) se mantêm nesta OS, com os ajustes anotados abaixo.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74B5"/>
          <w:sz w:val="26"/>
        </w:rPr>
        <w:t>1. Decisões de adaptação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Eixo de adaptação</w:t>
            </w:r>
          </w:p>
        </w:tc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Decisão</w:t>
            </w:r>
          </w:p>
        </w:tc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Justificativa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Tipo de produto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Sem UX/UI — projeto de configuração cloud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Igual à OS-001. Escopo é 100% configuração de Azure APIM, Key Vault e Azure Monitor.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Origem dos requisitos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Cliente fornece contexto; Timeware elabora especificação técnica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Igual à OS-001.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Porte do projeto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Médio — formalidade padrão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Mesmo porte e equipe da OS-001.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Equipe e papéis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Cézar Hiraki acumula Tech Lead, Arquiteto e GCO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Igual à OS-001.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Criticidade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Padrão com atenção reforçada em segurança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Esta OS implementa autenticação (OAuth 2.0), gestão de secrets (Key Vault) e homologação end-to-end — componentes de segurança crítica. Verificação técnica de Cézar Hiraki cobre especificamente esses itens.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Cadência de entrega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Por marco — aceite único ao final da OS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Igual à OS-001.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Ambiente de stage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Sandbox já entregue na OS-001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O sandbox é utilizado na homologação desta OS, não provisionado aqui.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Verificação e Validação (VV)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Checklist de verificação de configuração + smoke checks + verificação técnica Cézar Hiraki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Mesma abordagem da OS-001. Adicionado: verificação de fluxo OAuth 2.0 end-to-end e validação de secrets no Key Vault.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GQA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Mantido da OS-001. Independência em relação à equipe de projeto garantida.</w:t>
            </w:r>
          </w:p>
        </w:tc>
      </w:tr>
    </w:tbl>
    <w:p/>
    <w:p>
      <w:pPr>
        <w:pStyle w:val="Heading2"/>
      </w:pPr>
      <w:r>
        <w:rPr>
          <w:b/>
          <w:color w:val="2E74B5"/>
          <w:sz w:val="26"/>
        </w:rPr>
        <w:t>2. Etapas aplicáveis e não aplicáveis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Etapa / artefato</w:t>
            </w:r>
          </w:p>
        </w:tc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Aplicável?</w:t>
            </w:r>
          </w:p>
        </w:tc>
        <w:tc>
          <w:tcPr>
            <w:tcW w:type="dxa" w:w="312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Observação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Design de UX/UI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Não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Igual à OS-001.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Documento de Design (arquitetura)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Estende o design da OS-001 com Key Vault, OAuth 2.0, Application Insights e Azure Monitor.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Documento de Requisitos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Requisitos documentados em REQ-GASMIG02-002.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Matriz de rastreabilidade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Estende RASTR-GASMIG02-001 com os novos requisitos.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Plano de Projeto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Com adaptação: cronograma por atividades, não por sprints.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Estratégia de Integração (ITP)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Sim — parcialmente aplicável nesta OS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 integração entre APIM, Key Vault e Entra ID (OAuth 2.0) constitui integração entre serviços Azure; documentada no Documento de Design.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Testes de software (unitários, BDD/Gherkin)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Não aplicável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Igual à OS-001 — projeto de configuração, sem desenvolvimento de código.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Verificação de configuração (checklist)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Cada item verificado por checklist no portal Azure e nas ferramentas de monitoramento.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Verificação técnica Cézar Hiraki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Com foco reforçado em OAuth 2.0, Key Vault e alertas — componentes de maior criticidade desta OS.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Smoke checks HTTP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Verificação de fluxo OAuth 2.0 end-to-end e de alertas disparados.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Change Request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Sim, se acionado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Mesmo fluxo da OS-001.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Termo de Encerramento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Sim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Encerramento formal após sessão de homologação.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Aquisição (AQU)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/>
                <w:i w:val="0"/>
                <w:sz w:val="20"/>
              </w:rPr>
              <w:t>Não aplicável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Igual à OS-001: sem subcontratação de terceiro responsável por entrega; serviços Azure (APIM, Key Vault, Entra ID, Monitor) são software de prateleira/infraestrutura, fora do escopo de AQU (PRO-AQU-001 §2).</w:t>
            </w:r>
          </w:p>
        </w:tc>
      </w:tr>
    </w:tbl>
    <w:p/>
    <w:p>
      <w:pPr>
        <w:pStyle w:val="Heading2"/>
      </w:pPr>
      <w:r>
        <w:rPr>
          <w:b/>
          <w:color w:val="2E74B5"/>
          <w:sz w:val="26"/>
        </w:rPr>
        <w:t>3. Pontos de controle obrigatórios (não adaptáveis)</w:t>
      </w:r>
    </w:p>
    <w:p>
      <w:pPr>
        <w:spacing w:after="80"/>
      </w:pPr>
      <w:r>
        <w:rPr>
          <w:b w:val="0"/>
          <w:i w:val="0"/>
          <w:sz w:val="20"/>
        </w:rPr>
        <w:t>Conforme GUIA-GPC-001 v1.2, os seis pontos a seguir são obrigatórios e não passíveis de supressão em nenhum projeto.</w:t>
      </w:r>
    </w:p>
    <w:p>
      <w:pPr>
        <w:pStyle w:val="ListBullet"/>
        <w:spacing w:before="0" w:after="0"/>
      </w:pPr>
      <w:r>
        <w:rPr>
          <w:b w:val="0"/>
          <w:i w:val="0"/>
          <w:sz w:val="20"/>
        </w:rPr>
        <w:t>[x] Abertura — Termo de Abertura elaborado e aprovado antes do início das atividades (TAP-GASMIG02-002)</w:t>
      </w:r>
    </w:p>
    <w:p>
      <w:pPr>
        <w:pStyle w:val="ListBullet"/>
        <w:spacing w:before="0" w:after="0"/>
      </w:pPr>
      <w:r>
        <w:rPr>
          <w:b w:val="0"/>
          <w:i w:val="0"/>
          <w:sz w:val="20"/>
        </w:rPr>
        <w:t>[x] Requisitos — Requisitos especificados, rastreáveis e validados antes da configuração (REQ-GASMIG02-002)</w:t>
      </w:r>
    </w:p>
    <w:p>
      <w:pPr>
        <w:pStyle w:val="ListBullet"/>
        <w:spacing w:before="0" w:after="0"/>
      </w:pPr>
      <w:r>
        <w:rPr>
          <w:b w:val="0"/>
          <w:i w:val="0"/>
          <w:sz w:val="20"/>
        </w:rPr>
        <w:t>[x] Design — Documento de Design técnico elaborado e aprovado antes do deploy (PCP-GASMIG02-002)</w:t>
      </w:r>
    </w:p>
    <w:p>
      <w:pPr>
        <w:pStyle w:val="ListBullet"/>
        <w:spacing w:before="0" w:after="0"/>
      </w:pPr>
      <w:r>
        <w:rPr>
          <w:b w:val="0"/>
          <w:i w:val="0"/>
          <w:sz w:val="20"/>
        </w:rPr>
        <w:t>[x] Verificação — Checklist de verificação de configuração executado e resultados registrados (VV-GASMIG02-002)</w:t>
      </w:r>
    </w:p>
    <w:p>
      <w:pPr>
        <w:pStyle w:val="ListBullet"/>
        <w:spacing w:before="0" w:after="0"/>
      </w:pPr>
      <w:r>
        <w:rPr>
          <w:b w:val="0"/>
          <w:i w:val="0"/>
          <w:sz w:val="20"/>
        </w:rPr>
        <w:t>[x] Homologação — Sessão de homologação end-to-end com o cliente realizada e registrada (ATA-GASMIG02-003)</w:t>
      </w:r>
    </w:p>
    <w:p>
      <w:pPr>
        <w:pStyle w:val="ListBullet"/>
        <w:spacing w:before="0" w:after="0"/>
      </w:pPr>
      <w:r>
        <w:rPr>
          <w:b w:val="0"/>
          <w:i w:val="0"/>
          <w:sz w:val="20"/>
        </w:rPr>
        <w:t>[x] Encerramento — Termo de Encerramento emitido com aceite formal (TAE-GASMIG02-002)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74B5"/>
          <w:sz w:val="26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Versão</w:t>
            </w:r>
          </w:p>
        </w:tc>
        <w:tc>
          <w:tcPr>
            <w:tcW w:type="dxa" w:w="234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Data</w:t>
            </w:r>
          </w:p>
        </w:tc>
        <w:tc>
          <w:tcPr>
            <w:tcW w:type="dxa" w:w="234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Autor</w:t>
            </w:r>
          </w:p>
        </w:tc>
        <w:tc>
          <w:tcPr>
            <w:tcW w:type="dxa" w:w="2340"/>
            <w:shd w:val="clear" w:color="auto" w:fill="D6E4F7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Descrição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1.0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Versão inicial — adaptações da OS-PARCELA-002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1.1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Adicionada referência ao processo-padrão base (PRO-GPC-001 v2.2) e ao guia de adaptação (GUIA-GPC-001 v1.2); GQA atualizado para COO (Operações); pontos de controle expandidos para os 6 obrigatórios do GUIA-GPC-001 v1.2; todos marcados como concluídos (OS-002 encerrada em 09/06/2026)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1.2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sz w:val="20"/>
              </w:rPr>
              <w:t>Registrada explicitamente a não aplicabilidade do processo de Aquisição (AQU) nesta OS, conforme PRO-AQU-001 §2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