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00c1223576a4427dd5f4ea8695658393bac2544"/>
      <w:r>
        <w:t xml:space="preserve">Política Organizacional de Processos — TIMEWARE</w:t>
      </w:r>
      <w:bookmarkEnd w:id="20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Documento</w:t>
            </w:r>
          </w:p>
        </w:tc>
        <w:tc>
          <w:p>
            <w:pPr>
              <w:pStyle w:val="Compact"/>
              <w:jc w:val="left"/>
            </w:pPr>
            <w:r>
              <w:t xml:space="preserve">POL-ORG-001 — Política Organizacional de Processos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Versão</w:t>
            </w:r>
          </w:p>
        </w:tc>
        <w:tc>
          <w:p>
            <w:pPr>
              <w:pStyle w:val="Compact"/>
              <w:jc w:val="left"/>
            </w:pPr>
            <w:r>
              <w:t xml:space="preserve">1.1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Data</w:t>
            </w:r>
          </w:p>
        </w:tc>
        <w:tc>
          <w:p>
            <w:pPr>
              <w:pStyle w:val="Compact"/>
              <w:jc w:val="left"/>
            </w:pPr>
            <w:r>
              <w:t xml:space="preserve">15/06/2026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Organização</w:t>
            </w:r>
          </w:p>
        </w:tc>
        <w:tc>
          <w:p>
            <w:pPr>
              <w:pStyle w:val="Compact"/>
              <w:jc w:val="left"/>
            </w:pPr>
            <w:r>
              <w:t xml:space="preserve">Timeware Brasil Softwares e Serviços LTDA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Aprovação / Patrocínio</w:t>
            </w:r>
          </w:p>
        </w:tc>
        <w:tc>
          <w:p>
            <w:pPr>
              <w:pStyle w:val="Compact"/>
              <w:jc w:val="left"/>
            </w:pPr>
            <w:r>
              <w:t xml:space="preserve">Tiago Barbosa Nascimento — Founder e CEO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Nota de auditoria</w:t>
            </w:r>
          </w:p>
        </w:tc>
        <w:tc>
          <w:p>
            <w:pPr>
              <w:pStyle w:val="Compact"/>
              <w:jc w:val="left"/>
            </w:pPr>
            <w:r>
              <w:t xml:space="preserve">Para a correspondência deste documento com o modelo de referência, ver a seção final</w:t>
            </w:r>
            <w:r>
              <w:t xml:space="preserve"> </w:t>
            </w:r>
            <w:r>
              <w:t xml:space="preserve">“</w:t>
            </w:r>
            <w:r>
              <w:t xml:space="preserve">Rastreabilidade e instrução para auditoria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Classificação</w:t>
            </w:r>
          </w:p>
        </w:tc>
        <w:tc>
          <w:p>
            <w:pPr>
              <w:pStyle w:val="Compact"/>
              <w:jc w:val="left"/>
            </w:pPr>
            <w:r>
              <w:t xml:space="preserve">Ativo de processo organizacional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propósito"/>
      <w:r>
        <w:t xml:space="preserve">1. Propósito</w:t>
      </w:r>
      <w:bookmarkEnd w:id="21"/>
    </w:p>
    <w:p>
      <w:pPr>
        <w:pStyle w:val="FirstParagraph"/>
      </w:pPr>
      <w:r>
        <w:t xml:space="preserve">Esta Política estabelece o compromisso da direção da Timeware Brasil Softwares e Serviços LTDA com a definição, o uso, a medição e a melhoria contínua dos seus processos de desenvolvimento e manutenção de software.</w:t>
      </w:r>
    </w:p>
    <w:p>
      <w:pPr>
        <w:pStyle w:val="BodyText"/>
      </w:pPr>
      <w:r>
        <w:t xml:space="preserve">A Timeware atua em duas frentes de produto:</w:t>
      </w:r>
      <w:r>
        <w:t xml:space="preserve"> </w:t>
      </w:r>
      <w:r>
        <w:rPr>
          <w:b/>
        </w:rPr>
        <w:t xml:space="preserve">desenvolvimento de software sob medida para clientes</w:t>
      </w:r>
      <w:r>
        <w:t xml:space="preserve"> </w:t>
      </w:r>
      <w:r>
        <w:t xml:space="preserve">e</w:t>
      </w:r>
      <w:r>
        <w:t xml:space="preserve"> </w:t>
      </w:r>
      <w:r>
        <w:rPr>
          <w:b/>
        </w:rPr>
        <w:t xml:space="preserve">desenvolvimento de produto próprio</w:t>
      </w:r>
      <w:r>
        <w:t xml:space="preserve">. Esta Política aplica-se igualmente às duas frentes, reconhecendo que ambas compartilham a mesma base de processos organizacionais.</w:t>
      </w:r>
    </w:p>
    <w:p>
      <w:pPr>
        <w:pStyle w:val="BodyText"/>
      </w:pPr>
      <w:r>
        <w:t xml:space="preserve">A Política é a diretriz de mais alto nível da Timeware em relação a processos. Todos os demais ativos de processo — processos-padrão, planos, procedimentos, templates e registros — derivam dela e devem estar com ela alinhados.</w:t>
      </w:r>
    </w:p>
    <w:p>
      <w:pPr>
        <w:pStyle w:val="Heading2"/>
      </w:pPr>
      <w:bookmarkStart w:id="22" w:name="motivação-de-negócio"/>
      <w:r>
        <w:t xml:space="preserve">2. Motivação de negócio</w:t>
      </w:r>
      <w:bookmarkEnd w:id="22"/>
    </w:p>
    <w:p>
      <w:pPr>
        <w:pStyle w:val="FirstParagraph"/>
      </w:pPr>
      <w:r>
        <w:t xml:space="preserve">A Timeware investe na institucionalização dos seus processos com o objetivo central de</w:t>
      </w:r>
      <w:r>
        <w:t xml:space="preserve"> </w:t>
      </w:r>
      <w:r>
        <w:rPr>
          <w:b/>
        </w:rPr>
        <w:t xml:space="preserve">crescer com qualidade e previsibilidade</w:t>
      </w:r>
      <w:r>
        <w:t xml:space="preserve">: entregar software que atende aos requisitos acordados, dentro de prazos e custos planejados, de forma sustentável à medida que a organização cresce em número de projetos, clientes e colaboradores.</w:t>
      </w:r>
    </w:p>
    <w:p>
      <w:pPr>
        <w:pStyle w:val="BodyText"/>
      </w:pPr>
      <w:r>
        <w:t xml:space="preserve">Com uma equipe de porte médio e múltiplos projetos em andamento simultâneo — frequentemente compartilhando recursos especializados entre si — a previsibilidade depende de processos que não estejam presos ao conhecimento individual. Processos definidos e seguidos permitem à Timeware:</w:t>
      </w:r>
    </w:p>
    <w:p>
      <w:pPr>
        <w:numPr>
          <w:ilvl w:val="0"/>
          <w:numId w:val="1001"/>
        </w:numPr>
        <w:pStyle w:val="Compact"/>
      </w:pPr>
      <w:r>
        <w:t xml:space="preserve">repetir resultados bons de forma consistente entre projetos e equipes;</w:t>
      </w:r>
    </w:p>
    <w:p>
      <w:pPr>
        <w:numPr>
          <w:ilvl w:val="0"/>
          <w:numId w:val="1001"/>
        </w:numPr>
        <w:pStyle w:val="Compact"/>
      </w:pPr>
      <w:r>
        <w:t xml:space="preserve">reduzir a dependência de esforço heroico e de conhecimento não documentado;</w:t>
      </w:r>
    </w:p>
    <w:p>
      <w:pPr>
        <w:numPr>
          <w:ilvl w:val="0"/>
          <w:numId w:val="1001"/>
        </w:numPr>
        <w:pStyle w:val="Compact"/>
      </w:pPr>
      <w:r>
        <w:t xml:space="preserve">antecipar e tratar riscos antes que se tornem problemas;</w:t>
      </w:r>
    </w:p>
    <w:p>
      <w:pPr>
        <w:numPr>
          <w:ilvl w:val="0"/>
          <w:numId w:val="1001"/>
        </w:numPr>
        <w:pStyle w:val="Compact"/>
      </w:pPr>
      <w:r>
        <w:t xml:space="preserve">tomar decisões com base em dados (medidas), não apenas em percepção;</w:t>
      </w:r>
    </w:p>
    <w:p>
      <w:pPr>
        <w:numPr>
          <w:ilvl w:val="0"/>
          <w:numId w:val="1001"/>
        </w:numPr>
        <w:pStyle w:val="Compact"/>
      </w:pPr>
      <w:r>
        <w:t xml:space="preserve">equilibrar a alocação de recursos compartilhados entre os projetos do portfólio;</w:t>
      </w:r>
    </w:p>
    <w:p>
      <w:pPr>
        <w:numPr>
          <w:ilvl w:val="0"/>
          <w:numId w:val="1001"/>
        </w:numPr>
        <w:pStyle w:val="Compact"/>
      </w:pPr>
      <w:r>
        <w:t xml:space="preserve">melhorar continuamente a partir do que a organização aprende a cada entrega.</w:t>
      </w:r>
    </w:p>
    <w:p>
      <w:pPr>
        <w:pStyle w:val="Heading2"/>
      </w:pPr>
      <w:bookmarkStart w:id="23" w:name="abrangência"/>
      <w:r>
        <w:t xml:space="preserve">3. Abrangência</w:t>
      </w:r>
      <w:bookmarkEnd w:id="23"/>
    </w:p>
    <w:p>
      <w:pPr>
        <w:pStyle w:val="FirstParagraph"/>
      </w:pPr>
      <w:r>
        <w:t xml:space="preserve">Esta Política aplica-se a toda a organização: a todos os colaboradores envolvidos no desenvolvimento, manutenção, gestão e apoio aos projetos e produtos de software da Timeware, sejam colaboradores internos ou prestadores que atuem sob a gestão da organização.</w:t>
      </w:r>
    </w:p>
    <w:p>
      <w:pPr>
        <w:pStyle w:val="BodyText"/>
      </w:pPr>
      <w:r>
        <w:t xml:space="preserve">Os projetos da Timeware são conduzidos predominantemente sob abordagem</w:t>
      </w:r>
      <w:r>
        <w:t xml:space="preserve"> </w:t>
      </w:r>
      <w:r>
        <w:rPr>
          <w:b/>
        </w:rPr>
        <w:t xml:space="preserve">ágil (Scrum)</w:t>
      </w:r>
      <w:r>
        <w:t xml:space="preserve">, organizada em sprints. Esta Política e os processos dela derivados são compatíveis com essa abordagem e devem ser adaptados a ela, e não o contrário.</w:t>
      </w:r>
    </w:p>
    <w:p>
      <w:pPr>
        <w:pStyle w:val="Heading2"/>
      </w:pPr>
      <w:bookmarkStart w:id="24" w:name="diretrizes-compromissos-da-direção"/>
      <w:r>
        <w:t xml:space="preserve">4. Diretrizes (compromissos da direção)</w:t>
      </w:r>
      <w:bookmarkEnd w:id="24"/>
    </w:p>
    <w:p>
      <w:pPr>
        <w:pStyle w:val="FirstParagraph"/>
      </w:pPr>
      <w:r>
        <w:t xml:space="preserve">A direção da Timeware, representada pelo Founder e CEO, compromete-se a:</w:t>
      </w:r>
    </w:p>
    <w:p>
      <w:pPr>
        <w:pStyle w:val="BodyText"/>
      </w:pPr>
      <w:r>
        <w:rPr>
          <w:b/>
        </w:rPr>
        <w:t xml:space="preserve">4.1. Definir e manter processos-padrão.</w:t>
      </w:r>
      <w:r>
        <w:t xml:space="preserve"> </w:t>
      </w:r>
      <w:r>
        <w:t xml:space="preserve">A organização manterá um conjunto de processos-padrão documentados, com diretrizes de adaptação, disponíveis a todos os colaboradores em uma biblioteca de ativos de processo.</w:t>
      </w:r>
    </w:p>
    <w:p>
      <w:pPr>
        <w:pStyle w:val="BodyText"/>
      </w:pPr>
      <w:r>
        <w:rPr>
          <w:b/>
        </w:rPr>
        <w:t xml:space="preserve">4.2. Usar os processos.</w:t>
      </w:r>
      <w:r>
        <w:t xml:space="preserve"> </w:t>
      </w:r>
      <w:r>
        <w:t xml:space="preserve">Os projetos e atividades da organização serão planejados, executados e monitorados com base nos processos-padrão, adaptados ao contexto de cada projeto conforme as diretrizes de adaptação e respeitando a dinâmica ágil de trabalho.</w:t>
      </w:r>
    </w:p>
    <w:p>
      <w:pPr>
        <w:pStyle w:val="BodyText"/>
      </w:pPr>
      <w:r>
        <w:rPr>
          <w:b/>
        </w:rPr>
        <w:t xml:space="preserve">4.3. Prover recursos.</w:t>
      </w:r>
      <w:r>
        <w:t xml:space="preserve"> </w:t>
      </w:r>
      <w:r>
        <w:t xml:space="preserve">A direção garantirá os recursos humanos, materiais, financeiros e de tempo necessários para definir, executar, avaliar e melhorar os processos, incluindo a capacitação dos colaboradores.</w:t>
      </w:r>
    </w:p>
    <w:p>
      <w:pPr>
        <w:pStyle w:val="BodyText"/>
      </w:pPr>
      <w:r>
        <w:rPr>
          <w:b/>
        </w:rPr>
        <w:t xml:space="preserve">4.4. Medir o desempenho.</w:t>
      </w:r>
      <w:r>
        <w:t xml:space="preserve"> </w:t>
      </w:r>
      <w:r>
        <w:t xml:space="preserve">A organização coletará, analisará e usará medidas dos processos e produtos para acompanhar o desempenho e apoiar decisões, com base em objetivos de medição derivados dos objetivos de negócio.</w:t>
      </w:r>
    </w:p>
    <w:p>
      <w:pPr>
        <w:pStyle w:val="BodyText"/>
      </w:pPr>
      <w:r>
        <w:rPr>
          <w:b/>
        </w:rPr>
        <w:t xml:space="preserve">4.5. Garantir a qualidade.</w:t>
      </w:r>
      <w:r>
        <w:t xml:space="preserve"> </w:t>
      </w:r>
      <w:r>
        <w:t xml:space="preserve">A organização verificará de forma objetiva que os processos estão sendo seguidos e que os produtos de trabalho atendem aos padrões aplicáveis, por meio de atividades de garantia da qualidade conduzidas com independência em relação a quem executa o trabalho avaliado.</w:t>
      </w:r>
    </w:p>
    <w:p>
      <w:pPr>
        <w:pStyle w:val="BodyText"/>
      </w:pPr>
      <w:r>
        <w:rPr>
          <w:b/>
        </w:rPr>
        <w:t xml:space="preserve">4.6. Gerir riscos e oportunidades.</w:t>
      </w:r>
      <w:r>
        <w:t xml:space="preserve"> </w:t>
      </w:r>
      <w:r>
        <w:t xml:space="preserve">A organização identificará, analisará e tratará riscos e oportunidades, tanto no nível dos projetos quanto no nível organizacional.</w:t>
      </w:r>
    </w:p>
    <w:p>
      <w:pPr>
        <w:pStyle w:val="BodyText"/>
      </w:pPr>
      <w:r>
        <w:rPr>
          <w:b/>
        </w:rPr>
        <w:t xml:space="preserve">4.7. Gerir o portfólio.</w:t>
      </w:r>
      <w:r>
        <w:t xml:space="preserve"> </w:t>
      </w:r>
      <w:r>
        <w:t xml:space="preserve">A direção manterá visão consolidada dos projetos em andamento e priorizará a alocação de recursos compartilhados entre eles, de forma a sustentar os compromissos assumidos com clientes e com o produto próprio.</w:t>
      </w:r>
    </w:p>
    <w:p>
      <w:pPr>
        <w:pStyle w:val="BodyText"/>
      </w:pPr>
      <w:r>
        <w:rPr>
          <w:b/>
        </w:rPr>
        <w:t xml:space="preserve">4.8. Melhorar continuamente.</w:t>
      </w:r>
      <w:r>
        <w:t xml:space="preserve"> </w:t>
      </w:r>
      <w:r>
        <w:t xml:space="preserve">A organização identificará oportunidades de melhoria a partir da execução dos processos, das medidas e das avaliações, e implementará melhorias priorizadas pela sua contribuição aos objetivos de negócio.</w:t>
      </w:r>
    </w:p>
    <w:p>
      <w:pPr>
        <w:pStyle w:val="BodyText"/>
      </w:pPr>
      <w:r>
        <w:rPr>
          <w:b/>
        </w:rPr>
        <w:t xml:space="preserve">4.9. Comunicar e revisar.</w:t>
      </w:r>
      <w:r>
        <w:t xml:space="preserve"> </w:t>
      </w:r>
      <w:r>
        <w:t xml:space="preserve">Esta Política e as diretrizes dela derivadas serão comunicadas aos colaboradores e revisadas periodicamente pela direção, mantendo o alinhamento com os objetivos da organização.</w:t>
      </w:r>
    </w:p>
    <w:p>
      <w:pPr>
        <w:pStyle w:val="Heading2"/>
      </w:pPr>
      <w:bookmarkStart w:id="25" w:name="responsabilidades"/>
      <w:r>
        <w:t xml:space="preserve">5. Responsabilidades</w:t>
      </w:r>
      <w:bookmarkEnd w:id="25"/>
    </w:p>
    <w:p>
      <w:pPr>
        <w:pStyle w:val="FirstParagraph"/>
      </w:pPr>
      <w:r>
        <w:t xml:space="preserve">A Timeware adota uma separação clara entre quem</w:t>
      </w:r>
      <w:r>
        <w:t xml:space="preserve"> </w:t>
      </w:r>
      <w:r>
        <w:rPr>
          <w:b/>
        </w:rPr>
        <w:t xml:space="preserve">define</w:t>
      </w:r>
      <w:r>
        <w:t xml:space="preserve"> </w:t>
      </w:r>
      <w:r>
        <w:t xml:space="preserve">os processos, quem os</w:t>
      </w:r>
      <w:r>
        <w:t xml:space="preserve"> </w:t>
      </w:r>
      <w:r>
        <w:rPr>
          <w:b/>
        </w:rPr>
        <w:t xml:space="preserve">executa</w:t>
      </w:r>
      <w:r>
        <w:t xml:space="preserve"> </w:t>
      </w:r>
      <w:r>
        <w:t xml:space="preserve">e quem</w:t>
      </w:r>
      <w:r>
        <w:t xml:space="preserve"> </w:t>
      </w:r>
      <w:r>
        <w:rPr>
          <w:b/>
        </w:rPr>
        <w:t xml:space="preserve">verifica</w:t>
      </w:r>
      <w:r>
        <w:t xml:space="preserve"> </w:t>
      </w:r>
      <w:r>
        <w:t xml:space="preserve">sua aderência: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Papel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Responsabilidade em relação à Política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Founder e CEO</w:t>
            </w:r>
          </w:p>
        </w:tc>
        <w:tc>
          <w:p>
            <w:pPr>
              <w:pStyle w:val="Compact"/>
              <w:jc w:val="left"/>
            </w:pPr>
            <w:r>
              <w:t xml:space="preserve">Aprovar e patrocinar a Política; garantir recursos; revisar periodicamente o alinhamento dos processos aos objetivos de negócio.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COO (Operações)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Operacionalizar</w:t>
            </w:r>
            <w:r>
              <w:t xml:space="preserve"> </w:t>
            </w:r>
            <w:r>
              <w:t xml:space="preserve">as diretrizes desta Política no dia a dia da organização; coordenar a alocação de recursos compartilhados entre projetos; conduzir as auditorias de Garantia da Qualidade de Processo (GQA) com independência em relação às equipes auditadas; aprovar adaptações de processo de projetos; escalar ao CEO desvios que coloquem em risco os objetivos organizacionais.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Time de Melhoria Contínua</w:t>
            </w:r>
            <w:r>
              <w:t xml:space="preserve"> </w:t>
            </w:r>
            <w:r>
              <w:t xml:space="preserve">(Grupo de Processos da organização)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Definir</w:t>
            </w:r>
            <w:r>
              <w:t xml:space="preserve"> </w:t>
            </w:r>
            <w:r>
              <w:t xml:space="preserve">e manter os processos-padrão, templates e materiais de apoio; disponibilizá-los na biblioteca de ativos; apoiar os projetos no uso dos processos e conduzir sua melhoria contínua.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Garantia da Qualidade de Processo (GQA)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Verificar</w:t>
            </w:r>
            <w:r>
              <w:t xml:space="preserve"> </w:t>
            </w:r>
            <w:r>
              <w:t xml:space="preserve">objetivamente se os projetos e equipes executam o trabalho de acordo com os processos definidos e se os produtos de trabalho atendem aos padrões, de forma independente em relação a quem executou o trabalho avaliado. A função de auditor GQA é exercida pelo COO ou por colaborador designado pelo COO com independência em relação à equipe auditada.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Gerentes de Projeto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Executar</w:t>
            </w:r>
            <w:r>
              <w:t xml:space="preserve"> </w:t>
            </w:r>
            <w:r>
              <w:t xml:space="preserve">o planejamento e o acompanhamento dos projetos conforme os processos, adaptando-os ao contexto de cada projeto.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Equipes de Engenharia / Projeto (Scrum)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Executar</w:t>
            </w:r>
            <w:r>
              <w:t xml:space="preserve"> </w:t>
            </w:r>
            <w:r>
              <w:t xml:space="preserve">o trabalho técnico utilizando os processos, templates e materiais definidos, ao longo das sprints.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Colaboradores</w:t>
            </w:r>
          </w:p>
        </w:tc>
        <w:tc>
          <w:p>
            <w:pPr>
              <w:pStyle w:val="Compact"/>
              <w:jc w:val="left"/>
            </w:pPr>
            <w:r>
              <w:t xml:space="preserve">Conhecer e seguir os processos aplicáveis às suas atividades.</w:t>
            </w:r>
          </w:p>
        </w:tc>
      </w:tr>
    </w:tbl>
    <w:p>
      <w:pPr>
        <w:pStyle w:val="Heading2"/>
      </w:pPr>
      <w:bookmarkStart w:id="26" w:name="documentos-relacionados"/>
      <w:r>
        <w:t xml:space="preserve">6. Documentos relacionados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Processo-Padrão Organizacional e Guia de Adaptação</w:t>
      </w:r>
    </w:p>
    <w:p>
      <w:pPr>
        <w:numPr>
          <w:ilvl w:val="0"/>
          <w:numId w:val="1002"/>
        </w:numPr>
        <w:pStyle w:val="Compact"/>
      </w:pPr>
      <w:r>
        <w:t xml:space="preserve">Estratégia e Plano de Garantia da Qualidade</w:t>
      </w:r>
    </w:p>
    <w:p>
      <w:pPr>
        <w:numPr>
          <w:ilvl w:val="0"/>
          <w:numId w:val="1002"/>
        </w:numPr>
        <w:pStyle w:val="Compact"/>
      </w:pPr>
      <w:r>
        <w:t xml:space="preserve">Plano de Capacitação</w:t>
      </w:r>
    </w:p>
    <w:p>
      <w:pPr>
        <w:numPr>
          <w:ilvl w:val="0"/>
          <w:numId w:val="1002"/>
        </w:numPr>
        <w:pStyle w:val="Compact"/>
      </w:pPr>
      <w:r>
        <w:t xml:space="preserve">Plano de Medição</w:t>
      </w:r>
    </w:p>
    <w:p>
      <w:pPr>
        <w:numPr>
          <w:ilvl w:val="0"/>
          <w:numId w:val="1002"/>
        </w:numPr>
        <w:pStyle w:val="Compact"/>
      </w:pPr>
      <w:r>
        <w:t xml:space="preserve">Estratégia de Gerência de Riscos e Oportunidades</w:t>
      </w:r>
    </w:p>
    <w:p>
      <w:pPr>
        <w:numPr>
          <w:ilvl w:val="0"/>
          <w:numId w:val="1002"/>
        </w:numPr>
        <w:pStyle w:val="Compact"/>
      </w:pPr>
      <w:r>
        <w:t xml:space="preserve">Plano de Melhoria de Processos</w:t>
      </w:r>
    </w:p>
    <w:p>
      <w:pPr>
        <w:pStyle w:val="Heading2"/>
      </w:pPr>
      <w:bookmarkStart w:id="27" w:name="aprovação"/>
      <w:r>
        <w:t xml:space="preserve">7. Aprovação</w:t>
      </w:r>
      <w:bookmarkEnd w:id="27"/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Elaborado por</w:t>
            </w:r>
          </w:p>
        </w:tc>
        <w:tc>
          <w:p>
            <w:pPr>
              <w:pStyle w:val="Compact"/>
              <w:jc w:val="left"/>
            </w:pPr>
            <w:r>
              <w:t xml:space="preserve">Time de Melhoria Contínua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Aprovado por</w:t>
            </w:r>
          </w:p>
        </w:tc>
        <w:tc>
          <w:p>
            <w:pPr>
              <w:pStyle w:val="Compact"/>
              <w:jc w:val="left"/>
            </w:pPr>
            <w:r>
              <w:t xml:space="preserve">Tiago Barbosa Nascimento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p>
            <w:pPr>
              <w:pStyle w:val="Compact"/>
              <w:jc w:val="left"/>
            </w:pPr>
            <w:r>
              <w:t xml:space="preserve">Founder e CEO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p>
            <w:pPr>
              <w:pStyle w:val="Compact"/>
              <w:jc w:val="left"/>
            </w:pPr>
            <w:r>
              <w:t xml:space="preserve">07/07/2025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Assinatura</w:t>
            </w:r>
          </w:p>
        </w:tc>
        <w:tc>
          <w:p>
            <w:pPr>
              <w:pStyle w:val="Compact"/>
              <w:jc w:val="left"/>
            </w:pPr>
            <w:r>
              <w:t xml:space="preserve">__________________________________</w:t>
            </w:r>
          </w:p>
        </w:tc>
      </w:tr>
    </w:tbl>
    <w:p>
      <w:pPr>
        <w:pStyle w:val="Heading2"/>
      </w:pPr>
      <w:bookmarkStart w:id="28" w:name="X4d96f97f4d596755c3de870d9f61350e0743ee7"/>
      <w:r>
        <w:t xml:space="preserve">8. Rastreabilidade e instrução para auditoria</w:t>
      </w:r>
      <w:bookmarkEnd w:id="28"/>
    </w:p>
    <w:p>
      <w:pPr>
        <w:pStyle w:val="FirstParagraph"/>
      </w:pPr>
      <w:r>
        <w:rPr>
          <w:i/>
        </w:rPr>
        <w:t xml:space="preserve">Esta seção é destinada à equipe de avaliação e relaciona o conteúdo deste documento aos resultados esperados do modelo de referência MR-MPS-SW. No corpo, o conteúdo é descrito na linguagem operacional da Timeware; o quadro abaixo indica onde cada resultado é atendido.</w:t>
      </w:r>
    </w:p>
    <w:p>
      <w:pPr>
        <w:pStyle w:val="BodyText"/>
      </w:pPr>
      <w:r>
        <w:t xml:space="preserve">Este documento corresponde ao resultado</w:t>
      </w:r>
      <w:r>
        <w:t xml:space="preserve"> </w:t>
      </w:r>
      <w:r>
        <w:rPr>
          <w:b/>
        </w:rPr>
        <w:t xml:space="preserve">OSW 1</w:t>
      </w:r>
      <w:r>
        <w:t xml:space="preserve"> </w:t>
      </w:r>
      <w:r>
        <w:t xml:space="preserve">do processo</w:t>
      </w:r>
      <w:r>
        <w:t xml:space="preserve"> </w:t>
      </w:r>
      <w:r>
        <w:rPr>
          <w:b/>
        </w:rPr>
        <w:t xml:space="preserve">Gerência Organizacional de Software (OSW)</w:t>
      </w:r>
      <w:r>
        <w:t xml:space="preserve"> </w:t>
      </w:r>
      <w:r>
        <w:t xml:space="preserve">do MR-MPS-SW:2024.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Onde é atendido neste documento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OSW 1 — comprometimento e patrocínio da alta direção com a definição, o uso, a medição e a melhoria dos processos</w:t>
            </w:r>
          </w:p>
        </w:tc>
        <w:tc>
          <w:p>
            <w:pPr>
              <w:pStyle w:val="Compact"/>
              <w:jc w:val="left"/>
            </w:pPr>
            <w:r>
              <w:t xml:space="preserve">Seções 1, 2 e 4 (diretrizes e compromissos da direção); seção 7 (aprovação e patrocínio do CEO)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histórico-de-revisões"/>
      <w:r>
        <w:t xml:space="preserve">Histórico de revisões</w:t>
      </w:r>
      <w:bookmarkEnd w:id="29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07/07/2025</w:t>
            </w:r>
          </w:p>
        </w:tc>
        <w:tc>
          <w:p>
            <w:pPr>
              <w:pStyle w:val="Compact"/>
              <w:jc w:val="left"/>
            </w:pPr>
            <w:r>
              <w:t xml:space="preserve">Time de Melhoria Contínua</w:t>
            </w:r>
          </w:p>
        </w:tc>
        <w:tc>
          <w:p>
            <w:pPr>
              <w:pStyle w:val="Compact"/>
              <w:jc w:val="left"/>
            </w:pPr>
            <w:r>
              <w:t xml:space="preserve">Formalização da Política Organizacional de Processos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p>
            <w:pPr>
              <w:pStyle w:val="Compact"/>
              <w:jc w:val="left"/>
            </w:pPr>
            <w:r>
              <w:t xml:space="preserve">15/06/2026</w:t>
            </w:r>
          </w:p>
        </w:tc>
        <w:tc>
          <w:p>
            <w:pPr>
              <w:pStyle w:val="Compact"/>
              <w:jc w:val="left"/>
            </w:pPr>
            <w:r>
              <w:t xml:space="preserve">Time de Melhoria Contínua</w:t>
            </w:r>
          </w:p>
        </w:tc>
        <w:tc>
          <w:p>
            <w:pPr>
              <w:pStyle w:val="Compact"/>
              <w:jc w:val="left"/>
            </w:pPr>
            <w:r>
              <w:t xml:space="preserve">Adição do papel COO (Operações) na seção 5 (Responsabilidades), com definição de suas atribuições operacionais, de coordenação de portfólio, de GQA e de governança de adaptações de processo — alinhamento com PRO-GPC-002, PRO-OSW-001, EST-GPC-001, EST-GPC-002 e PLA-GPC-001, que já referenciavam o COO. Resolução da pendência #1 do PENDENCIAS.md.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2026-06-15T16:19:27Z</dcterms:created>
  <dcterms:modified xsi:type="dcterms:W3CDTF">2026-06-15T16:19:27Z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