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Bdr>
          <w:top w:val="single" w:sz="32" w:space="0" w:color="003366"/>
        </w:pBdr>
        <w:spacing w:before="0" w:after="0"/>
      </w:pPr>
    </w:p>
    <w:p>
      <w:pPr>
        <w:spacing w:before="240" w:after="40"/>
      </w:pPr>
      <w:r>
        <w:rPr>
          <w:rFonts w:ascii="Calibri" w:hAnsi="Calibri"/>
          <w:b/>
          <w:color w:val="003366"/>
          <w:sz w:val="36"/>
        </w:rPr>
        <w:t>ÍNDICE DE REGISTROS DO PROJETO — AASP_CNJ</w:t>
      </w:r>
    </w:p>
    <w:p>
      <w:pPr>
        <w:spacing w:before="0" w:after="40"/>
      </w:pPr>
      <w:r>
        <w:rPr>
          <w:rFonts w:ascii="Calibri" w:hAnsi="Calibri"/>
          <w:color w:val="555555"/>
          <w:sz w:val="20"/>
        </w:rPr>
        <w:t>AASPCNJ01   ·   Versão Data   ·   11/06/2026   ·   Timeware Brasil</w:t>
      </w:r>
    </w:p>
    <w:p>
      <w:pPr>
        <w:pBdr>
          <w:bottom w:val="single" w:sz="6" w:space="1" w:color="003366"/>
        </w:pBdr>
        <w:spacing w:before="120" w:after="280"/>
      </w:pP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4451"/>
        <w:gridCol w:w="4451"/>
      </w:tblGrid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Campo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Valor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Documento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INDICE-AASPCNJ01-001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Projeto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AASP_CNJ — WorkerAndamentos: Agente de Captura de Andamentos Processuais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Código do projeto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AASPCNJ01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Cliente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AASP — Associação dos Advogados de São Paulo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Organização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Timeware Brasil Softwares e Serviços LTDA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Versão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1.5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Data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11/06/2026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Natureza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 xml:space="preserve">Documento de controle / índice — apoio interno. Organiza a produção das evidências do projeto; </w:t>
            </w:r>
            <w:r>
              <w:rPr>
                <w:rFonts w:ascii="Calibri" w:hAnsi="Calibri"/>
                <w:b/>
                <w:i w:val="0"/>
                <w:sz w:val="20"/>
              </w:rPr>
              <w:t>não é, ele próprio, evidência auditável pela ASR</w:t>
            </w:r>
            <w:r>
              <w:rPr>
                <w:rFonts w:ascii="Calibri" w:hAnsi="Calibri"/>
                <w:b w:val="0"/>
                <w:i w:val="0"/>
                <w:sz w:val="20"/>
              </w:rPr>
              <w:t>.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Fonte consolidada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AASP_CNJ_Registro_de_Projeto</w:t>
            </w:r>
            <w:r>
              <w:rPr>
                <w:rFonts w:ascii="Calibri" w:hAnsi="Calibri"/>
                <w:b w:val="0"/>
                <w:i w:val="0"/>
                <w:sz w:val="20"/>
              </w:rPr>
              <w:t xml:space="preserve"> v1.0 (08/06/2026)</w:t>
            </w:r>
          </w:p>
        </w:tc>
      </w:tr>
    </w:tbl>
    <w:p>
      <w:pPr>
        <w:spacing w:before="0" w:after="160"/>
      </w:pPr>
    </w:p>
    <w:p>
      <w:pPr>
        <w:spacing w:before="40" w:after="120"/>
        <w:ind w:left="454"/>
        <w:pBdr>
          <w:left w:val="single" w:sz="12" w:space="8" w:color="003366"/>
        </w:pBdr>
      </w:pPr>
      <w:r>
        <w:rPr>
          <w:rFonts w:ascii="Calibri" w:hAnsi="Calibri"/>
          <w:b/>
          <w:i w:val="0"/>
          <w:color w:val="1A5276"/>
          <w:sz w:val="22"/>
        </w:rPr>
        <w:t>Como usar:</w:t>
      </w:r>
      <w:r>
        <w:rPr>
          <w:rFonts w:ascii="Calibri" w:hAnsi="Calibri"/>
          <w:b w:val="0"/>
          <w:i w:val="0"/>
          <w:color w:val="1A5276"/>
          <w:sz w:val="22"/>
        </w:rPr>
        <w:t xml:space="preserve"> este índice mapeia todos os registros MPS a produzir para o projeto AASPCNJ01, o status de cada um, a seção do documento-fonte que o alimenta e o dado ainda pendente. Conforme cada artefato for gerado, atualizar a coluna </w:t>
      </w:r>
      <w:r>
        <w:rPr>
          <w:rFonts w:ascii="Calibri" w:hAnsi="Calibri"/>
          <w:b/>
          <w:i w:val="0"/>
          <w:color w:val="1A5276"/>
          <w:sz w:val="22"/>
        </w:rPr>
        <w:t>Status</w:t>
      </w:r>
      <w:r>
        <w:rPr>
          <w:rFonts w:ascii="Calibri" w:hAnsi="Calibri"/>
          <w:b w:val="0"/>
          <w:i w:val="0"/>
          <w:color w:val="1A5276"/>
          <w:sz w:val="22"/>
        </w:rPr>
        <w:t xml:space="preserve"> e registrar no histórico ao final.</w:t>
      </w:r>
    </w:p>
    <w:p>
      <w:pPr>
        <w:pStyle w:val="Heading1"/>
        <w:keepNext/>
        <w:keepLines/>
        <w:pBdr>
          <w:bottom w:val="single" w:sz="4" w:space="2" w:color="D6E4F0"/>
        </w:pBdr>
      </w:pPr>
      <w:r>
        <w:t>1. Contexto e momento do projeto</w:t>
      </w:r>
    </w:p>
    <w:p>
      <w:pPr>
        <w:pStyle w:val="ListBullet"/>
        <w:spacing w:before="20" w:after="40"/>
      </w:pPr>
      <w:r>
        <w:rPr>
          <w:rFonts w:ascii="Calibri" w:hAnsi="Calibri"/>
          <w:b/>
          <w:i w:val="0"/>
          <w:sz w:val="22"/>
        </w:rPr>
        <w:t>Início:</w:t>
      </w:r>
      <w:r>
        <w:rPr>
          <w:rFonts w:ascii="Calibri" w:hAnsi="Calibri"/>
          <w:b w:val="0"/>
          <w:i w:val="0"/>
          <w:sz w:val="22"/>
        </w:rPr>
        <w:t xml:space="preserve"> 01/10/2025 · </w:t>
      </w:r>
      <w:r>
        <w:rPr>
          <w:rFonts w:ascii="Calibri" w:hAnsi="Calibri"/>
          <w:b/>
          <w:i w:val="0"/>
          <w:sz w:val="22"/>
        </w:rPr>
        <w:t>Encerramento previsto:</w:t>
      </w:r>
      <w:r>
        <w:rPr>
          <w:rFonts w:ascii="Calibri" w:hAnsi="Calibri"/>
          <w:b w:val="0"/>
          <w:i w:val="0"/>
          <w:sz w:val="22"/>
        </w:rPr>
        <w:t xml:space="preserve"> 30/06/2026.</w:t>
      </w:r>
    </w:p>
    <w:p>
      <w:pPr>
        <w:pStyle w:val="ListBullet"/>
        <w:spacing w:before="20" w:after="40"/>
      </w:pPr>
      <w:r>
        <w:rPr>
          <w:rFonts w:ascii="Calibri" w:hAnsi="Calibri"/>
          <w:b/>
          <w:i w:val="0"/>
          <w:sz w:val="22"/>
        </w:rPr>
        <w:t>Status atual (08/06/2026):</w:t>
      </w:r>
      <w:r>
        <w:rPr>
          <w:rFonts w:ascii="Calibri" w:hAnsi="Calibri"/>
          <w:b w:val="0"/>
          <w:i w:val="0"/>
          <w:sz w:val="22"/>
        </w:rPr>
        <w:t xml:space="preserve"> desenvolvimento concluído; implantação em produção em andamento.</w:t>
      </w:r>
    </w:p>
    <w:p>
      <w:pPr>
        <w:pStyle w:val="ListBullet"/>
        <w:spacing w:before="20" w:after="40"/>
      </w:pPr>
      <w:r>
        <w:rPr>
          <w:rFonts w:ascii="Calibri" w:hAnsi="Calibri"/>
          <w:b/>
          <w:i w:val="0"/>
          <w:sz w:val="22"/>
        </w:rPr>
        <w:t>Fases do processo-padrão (PRO-GPC-001):</w:t>
      </w:r>
      <w:r>
        <w:rPr>
          <w:rFonts w:ascii="Calibri" w:hAnsi="Calibri"/>
          <w:b w:val="0"/>
          <w:i w:val="0"/>
          <w:sz w:val="22"/>
        </w:rPr>
        <w:t xml:space="preserve"> 1 a 6 concluídas; </w:t>
      </w:r>
      <w:r>
        <w:rPr>
          <w:rFonts w:ascii="Calibri" w:hAnsi="Calibri"/>
          <w:b/>
          <w:i w:val="0"/>
          <w:sz w:val="22"/>
        </w:rPr>
        <w:t>Fase 7 (Homologação, Entrega e Encerramento) em andamento</w:t>
      </w:r>
      <w:r>
        <w:rPr>
          <w:rFonts w:ascii="Calibri" w:hAnsi="Calibri"/>
          <w:b w:val="0"/>
          <w:i w:val="0"/>
          <w:sz w:val="22"/>
        </w:rPr>
        <w:t>.</w:t>
      </w:r>
    </w:p>
    <w:p>
      <w:pPr>
        <w:pStyle w:val="ListBullet"/>
        <w:spacing w:before="20" w:after="40"/>
      </w:pPr>
      <w:r>
        <w:rPr>
          <w:rFonts w:ascii="Calibri" w:hAnsi="Calibri"/>
          <w:b/>
          <w:i w:val="0"/>
          <w:sz w:val="22"/>
        </w:rPr>
        <w:t>Consequência para a documentação:</w:t>
      </w:r>
      <w:r>
        <w:rPr>
          <w:rFonts w:ascii="Calibri" w:hAnsi="Calibri"/>
          <w:b w:val="0"/>
          <w:i w:val="0"/>
          <w:sz w:val="22"/>
        </w:rPr>
        <w:t xml:space="preserve"> todo o conjunto de </w:t>
      </w:r>
      <w:r>
        <w:rPr>
          <w:rFonts w:ascii="Calibri" w:hAnsi="Calibri"/>
          <w:b/>
          <w:i w:val="0"/>
          <w:sz w:val="22"/>
        </w:rPr>
        <w:t>execução</w:t>
      </w:r>
      <w:r>
        <w:rPr>
          <w:rFonts w:ascii="Calibri" w:hAnsi="Calibri"/>
          <w:b w:val="0"/>
          <w:i w:val="0"/>
          <w:sz w:val="22"/>
        </w:rPr>
        <w:t xml:space="preserve"> pode ser produzido agora; os artefatos de </w:t>
      </w:r>
      <w:r>
        <w:rPr>
          <w:rFonts w:ascii="Calibri" w:hAnsi="Calibri"/>
          <w:b/>
          <w:i w:val="0"/>
          <w:sz w:val="22"/>
        </w:rPr>
        <w:t>encerramento</w:t>
      </w:r>
      <w:r>
        <w:rPr>
          <w:rFonts w:ascii="Calibri" w:hAnsi="Calibri"/>
          <w:b w:val="0"/>
          <w:i w:val="0"/>
          <w:sz w:val="22"/>
        </w:rPr>
        <w:t xml:space="preserve"> (TAE, Lições Aprendidas, Ata de Aceite Final) aguardam o aceite formal (~30/06/2026).</w:t>
      </w:r>
    </w:p>
    <w:p>
      <w:pPr>
        <w:pStyle w:val="Heading1"/>
        <w:keepNext/>
        <w:keepLines/>
        <w:pBdr>
          <w:bottom w:val="single" w:sz="4" w:space="2" w:color="D6E4F0"/>
        </w:pBdr>
      </w:pPr>
      <w:r>
        <w:t>2. Plano de produção (ondas)</w:t>
      </w: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>A produção segue três ondas, da maior para a menor prontidão de insumo.</w:t>
      </w:r>
    </w:p>
    <w:p>
      <w:pPr>
        <w:spacing w:before="0" w:after="120"/>
      </w:pPr>
      <w:r>
        <w:rPr>
          <w:rFonts w:ascii="Calibri" w:hAnsi="Calibri"/>
          <w:b/>
          <w:i w:val="0"/>
          <w:sz w:val="22"/>
        </w:rPr>
        <w:t>Legenda de status:</w:t>
      </w:r>
      <w:r>
        <w:rPr>
          <w:rFonts w:ascii="Calibri" w:hAnsi="Calibri"/>
          <w:b w:val="0"/>
          <w:i w:val="0"/>
          <w:sz w:val="22"/>
        </w:rPr>
        <w:t xml:space="preserve"> ✅ gerado (11/06/2026) · 🔵 aguardando encerramento · 🔴 não se aplica.</w:t>
      </w:r>
    </w:p>
    <w:p>
      <w:pPr>
        <w:spacing w:before="40" w:after="120"/>
        <w:ind w:left="454"/>
        <w:pBdr>
          <w:left w:val="single" w:sz="12" w:space="8" w:color="003366"/>
        </w:pBdr>
      </w:pPr>
      <w:r>
        <w:rPr>
          <w:rFonts w:ascii="Calibri" w:hAnsi="Calibri"/>
          <w:b/>
          <w:i w:val="0"/>
          <w:color w:val="1A5276"/>
          <w:sz w:val="22"/>
        </w:rPr>
        <w:t>Atualização v1.1 (11/06/2026):</w:t>
      </w:r>
      <w:r>
        <w:rPr>
          <w:rFonts w:ascii="Calibri" w:hAnsi="Calibri"/>
          <w:b w:val="0"/>
          <w:i w:val="0"/>
          <w:color w:val="1A5276"/>
          <w:sz w:val="22"/>
        </w:rPr>
        <w:t xml:space="preserve"> Ondas 1 e 2 geradas — </w:t>
      </w:r>
      <w:r>
        <w:rPr>
          <w:rFonts w:ascii="Calibri" w:hAnsi="Calibri"/>
          <w:b/>
          <w:i w:val="0"/>
          <w:color w:val="1A5276"/>
          <w:sz w:val="22"/>
        </w:rPr>
        <w:t>18 registros</w:t>
      </w:r>
      <w:r>
        <w:rPr>
          <w:rFonts w:ascii="Calibri" w:hAnsi="Calibri"/>
          <w:b w:val="0"/>
          <w:i w:val="0"/>
          <w:color w:val="1A5276"/>
          <w:sz w:val="22"/>
        </w:rPr>
        <w:t xml:space="preserve"> em </w:t>
      </w:r>
      <w:r>
        <w:rPr>
          <w:rFonts w:ascii="Courier New" w:hAnsi="Courier New"/>
          <w:b w:val="0"/>
          <w:i w:val="0"/>
          <w:color w:val="1A5276"/>
          <w:sz w:val="20"/>
        </w:rPr>
        <w:t>.md</w:t>
      </w:r>
      <w:r>
        <w:rPr>
          <w:rFonts w:ascii="Calibri" w:hAnsi="Calibri"/>
          <w:b w:val="0"/>
          <w:i w:val="0"/>
          <w:color w:val="1A5276"/>
          <w:sz w:val="22"/>
        </w:rPr>
        <w:t xml:space="preserve"> na pasta do projeto. Pendente: Onda 3 (encerramento) e a planilha de gestão (GEST). Os documentos usam </w:t>
      </w:r>
      <w:r>
        <w:rPr>
          <w:rFonts w:ascii="Calibri" w:hAnsi="Calibri"/>
          <w:b/>
          <w:i w:val="0"/>
          <w:color w:val="1A5276"/>
          <w:sz w:val="22"/>
        </w:rPr>
        <w:t>papéis genéricos</w:t>
      </w:r>
      <w:r>
        <w:rPr>
          <w:rFonts w:ascii="Calibri" w:hAnsi="Calibri"/>
          <w:b w:val="0"/>
          <w:i w:val="0"/>
          <w:color w:val="1A5276"/>
          <w:sz w:val="22"/>
        </w:rPr>
        <w:t xml:space="preserve"> (sem nomes) — substituição por nomes reais pendente do envio do roster.</w:t>
      </w:r>
    </w:p>
    <w:p>
      <w:pPr>
        <w:pStyle w:val="Heading2"/>
        <w:keepNext/>
        <w:keepLines/>
      </w:pPr>
      <w:r>
        <w:t>Onda 1 — Núcleo de execução (insumo forte)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3366"/>
          <w:left w:val="single" w:sz="4" w:space="0" w:color="003366"/>
          <w:bottom w:val="single" w:sz="4" w:space="0" w:color="003366"/>
          <w:right w:val="single" w:sz="4" w:space="0" w:color="003366"/>
          <w:insideH w:val="single" w:sz="4" w:space="0" w:color="003366"/>
          <w:insideV w:val="single" w:sz="4" w:space="0" w:color="003366"/>
        </w:tblBorders>
      </w:tblPr>
      <w:tblGrid>
        <w:gridCol w:w="1484"/>
        <w:gridCol w:w="1484"/>
        <w:gridCol w:w="1484"/>
        <w:gridCol w:w="1484"/>
        <w:gridCol w:w="1484"/>
        <w:gridCol w:w="1484"/>
      </w:tblGrid>
      <w:tr>
        <w:trPr>
          <w:cantSplit w:val="1"/>
        </w:trPr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#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Código do artefato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Documento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Processo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Seção-fonte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Status</w:t>
            </w:r>
          </w:p>
        </w:tc>
      </w:tr>
      <w:tr>
        <w:trPr>
          <w:cantSplit w:val="1"/>
        </w:trPr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TAP-AASPCNJ01-001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Termo de Abertura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GPR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✅</w:t>
            </w:r>
          </w:p>
        </w:tc>
      </w:tr>
      <w:tr>
        <w:trPr>
          <w:cantSplit w:val="1"/>
        </w:trPr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2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PLA-AASPCNJ01-001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Plano de Projeto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GPR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1, 3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✅</w:t>
            </w:r>
          </w:p>
        </w:tc>
      </w:tr>
      <w:tr>
        <w:trPr>
          <w:cantSplit w:val="1"/>
        </w:trPr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3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REQ-AASPCNJ01-001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Documento de Requisitos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REQ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2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✅</w:t>
            </w:r>
          </w:p>
        </w:tc>
      </w:tr>
      <w:tr>
        <w:trPr>
          <w:cantSplit w:val="1"/>
        </w:trPr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4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PCP-AASPCNJ01-001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Documento de Design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PCP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4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✅</w:t>
            </w:r>
          </w:p>
        </w:tc>
      </w:tr>
    </w:tbl>
    <w:p>
      <w:pPr>
        <w:spacing w:before="0" w:after="160"/>
      </w:pPr>
    </w:p>
    <w:p>
      <w:pPr>
        <w:pStyle w:val="Heading2"/>
        <w:keepNext/>
        <w:keepLines/>
      </w:pPr>
      <w:r>
        <w:t>Onda 2 — Restante da execução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3366"/>
          <w:left w:val="single" w:sz="4" w:space="0" w:color="003366"/>
          <w:bottom w:val="single" w:sz="4" w:space="0" w:color="003366"/>
          <w:right w:val="single" w:sz="4" w:space="0" w:color="003366"/>
          <w:insideH w:val="single" w:sz="4" w:space="0" w:color="003366"/>
          <w:insideV w:val="single" w:sz="4" w:space="0" w:color="003366"/>
        </w:tblBorders>
      </w:tblPr>
      <w:tblGrid>
        <w:gridCol w:w="1484"/>
        <w:gridCol w:w="1484"/>
        <w:gridCol w:w="1484"/>
        <w:gridCol w:w="1484"/>
        <w:gridCol w:w="1484"/>
        <w:gridCol w:w="1484"/>
      </w:tblGrid>
      <w:tr>
        <w:trPr>
          <w:cantSplit w:val="1"/>
        </w:trPr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#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Código do artefato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Documento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Processo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Seção-fonte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Status</w:t>
            </w:r>
          </w:p>
        </w:tc>
      </w:tr>
      <w:tr>
        <w:trPr>
          <w:cantSplit w:val="1"/>
        </w:trPr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5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ADAP-AASPCNJ01-001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Registro de Adaptação do Processo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GPR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—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✅</w:t>
            </w:r>
          </w:p>
        </w:tc>
      </w:tr>
      <w:tr>
        <w:trPr>
          <w:cantSplit w:val="1"/>
        </w:trPr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6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ITP-AASPCNJ01-001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Estratégia de Integração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ITP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6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✅</w:t>
            </w:r>
          </w:p>
        </w:tc>
      </w:tr>
      <w:tr>
        <w:trPr>
          <w:cantSplit w:val="1"/>
        </w:trPr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7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VV-AASPCNJ01-001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Plano de Verificação e Validação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VV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7.1–7.3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✅</w:t>
            </w:r>
          </w:p>
        </w:tc>
      </w:tr>
      <w:tr>
        <w:trPr>
          <w:cantSplit w:val="1"/>
        </w:trPr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8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REL-VV-AASPCNJ01-001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Relatório de Execução de Testes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VV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7.2, 7.4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✅</w:t>
            </w:r>
          </w:p>
        </w:tc>
      </w:tr>
      <w:tr>
        <w:trPr>
          <w:cantSplit w:val="1"/>
        </w:trPr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9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GCO-AASPCNJ01-001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Registro de Gerência de Configuração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GCO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5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✅</w:t>
            </w:r>
          </w:p>
        </w:tc>
      </w:tr>
      <w:tr>
        <w:trPr>
          <w:cantSplit w:val="1"/>
        </w:trPr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10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GDE-AASPCNJ01-001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Registro de Análise de Decisão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GDE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12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✅</w:t>
            </w:r>
          </w:p>
        </w:tc>
      </w:tr>
      <w:tr>
        <w:trPr>
          <w:cantSplit w:val="1"/>
        </w:trPr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11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MED-AASPCNJ01-001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Registro de Medição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MED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8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✅</w:t>
            </w:r>
          </w:p>
        </w:tc>
      </w:tr>
      <w:tr>
        <w:trPr>
          <w:cantSplit w:val="1"/>
        </w:trPr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12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RASTR-AASPCNJ01-001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Matriz de Rastreabilidade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REQ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2.3 + 4 + 7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✅</w:t>
            </w:r>
          </w:p>
        </w:tc>
      </w:tr>
      <w:tr>
        <w:trPr>
          <w:cantSplit w:val="1"/>
        </w:trPr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13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RAC-AASPCNJ01-001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Relatório de Acompanhamento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GPR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3.2, 8.2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✅</w:t>
            </w:r>
          </w:p>
        </w:tc>
      </w:tr>
      <w:tr>
        <w:trPr>
          <w:cantSplit w:val="1"/>
        </w:trPr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14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CR-AASPCNJ01-001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Change Request (pausa da 2ª instância EPROC)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GPR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5.3, D06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✅</w:t>
            </w:r>
          </w:p>
        </w:tc>
      </w:tr>
      <w:tr>
        <w:trPr>
          <w:cantSplit w:val="1"/>
        </w:trPr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15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ATA-AASPCNJ01-001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Ata de Alinhamento — Fluxo API CNJ (07/04/2026)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ORG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9.1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✅</w:t>
            </w:r>
          </w:p>
        </w:tc>
      </w:tr>
      <w:tr>
        <w:trPr>
          <w:cantSplit w:val="1"/>
        </w:trPr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16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GQA-AASPCNJ01-001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Registro de GQA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GPC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9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✅</w:t>
            </w:r>
          </w:p>
        </w:tc>
      </w:tr>
      <w:tr>
        <w:trPr>
          <w:cantSplit w:val="1"/>
        </w:trPr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17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GEST-AASPCNJ01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Planilha de Gestão do Projeto (xlsx) — 11 abas; backlog 20 histórias/155 SP + 48 tarefas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GPR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3.2, 3.4, 8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✅</w:t>
            </w:r>
          </w:p>
        </w:tc>
      </w:tr>
      <w:tr>
        <w:trPr>
          <w:cantSplit w:val="1"/>
        </w:trPr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18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CAP-AASPCNJ01-001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Registro de Capacitação da Equipe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CAP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11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✅</w:t>
            </w:r>
          </w:p>
        </w:tc>
      </w:tr>
      <w:tr>
        <w:trPr>
          <w:cantSplit w:val="1"/>
        </w:trPr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19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REV-AASPCNJ01-001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Registro de Revisão por Pares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VV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9.1, 11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✅</w:t>
            </w:r>
          </w:p>
        </w:tc>
      </w:tr>
    </w:tbl>
    <w:p>
      <w:pPr>
        <w:spacing w:before="0" w:after="160"/>
      </w:pPr>
    </w:p>
    <w:p>
      <w:pPr>
        <w:pStyle w:val="Heading2"/>
        <w:keepNext/>
        <w:keepLines/>
      </w:pPr>
      <w:r>
        <w:t>Onda 3 — Encerramento (aguardar aceite formal ~30/06/2026)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3366"/>
          <w:left w:val="single" w:sz="4" w:space="0" w:color="003366"/>
          <w:bottom w:val="single" w:sz="4" w:space="0" w:color="003366"/>
          <w:right w:val="single" w:sz="4" w:space="0" w:color="003366"/>
          <w:insideH w:val="single" w:sz="4" w:space="0" w:color="003366"/>
          <w:insideV w:val="single" w:sz="4" w:space="0" w:color="003366"/>
        </w:tblBorders>
      </w:tblPr>
      <w:tblGrid>
        <w:gridCol w:w="1484"/>
        <w:gridCol w:w="1484"/>
        <w:gridCol w:w="1484"/>
        <w:gridCol w:w="1484"/>
        <w:gridCol w:w="1484"/>
        <w:gridCol w:w="1484"/>
      </w:tblGrid>
      <w:tr>
        <w:trPr>
          <w:cantSplit w:val="1"/>
        </w:trPr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#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Código do artefato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Documento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Processo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Seção-fonte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Status</w:t>
            </w:r>
          </w:p>
        </w:tc>
      </w:tr>
      <w:tr>
        <w:trPr>
          <w:cantSplit w:val="1"/>
        </w:trPr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20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ATA-AASPCNJ01-002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Ata de Aceite Final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ORG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—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🔵</w:t>
            </w:r>
          </w:p>
        </w:tc>
      </w:tr>
      <w:tr>
        <w:trPr>
          <w:cantSplit w:val="1"/>
        </w:trPr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21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TAE-AASPCNJ01-001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Termo de Encerramento e Aceite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GPR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—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🔵</w:t>
            </w:r>
          </w:p>
        </w:tc>
      </w:tr>
      <w:tr>
        <w:trPr>
          <w:cantSplit w:val="1"/>
        </w:trPr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22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LI-AASPCNJ01-001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Lições Aprendidas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GPR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(implícito)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🔵</w:t>
            </w:r>
          </w:p>
        </w:tc>
      </w:tr>
    </w:tbl>
    <w:p>
      <w:pPr>
        <w:spacing w:before="0" w:after="160"/>
      </w:pPr>
    </w:p>
    <w:p>
      <w:pPr>
        <w:pStyle w:val="Heading2"/>
        <w:keepNext/>
        <w:keepLines/>
      </w:pPr>
      <w:r>
        <w:t>Fora de escopo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3366"/>
          <w:left w:val="single" w:sz="4" w:space="0" w:color="003366"/>
          <w:bottom w:val="single" w:sz="4" w:space="0" w:color="003366"/>
          <w:right w:val="single" w:sz="4" w:space="0" w:color="003366"/>
          <w:insideH w:val="single" w:sz="4" w:space="0" w:color="003366"/>
          <w:insideV w:val="single" w:sz="4" w:space="0" w:color="003366"/>
        </w:tblBorders>
      </w:tblPr>
      <w:tblGrid>
        <w:gridCol w:w="4451"/>
        <w:gridCol w:w="4451"/>
      </w:tblGrid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Item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Decisão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AQU — Aquisição (seção 10 do doc-fonte)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 xml:space="preserve">🔴 </w:t>
            </w:r>
            <w:r>
              <w:rPr>
                <w:rFonts w:ascii="Calibri" w:hAnsi="Calibri"/>
                <w:b/>
                <w:i w:val="0"/>
                <w:sz w:val="20"/>
              </w:rPr>
              <w:t>Não gerar registro de projeto.</w:t>
            </w:r>
            <w:r>
              <w:rPr>
                <w:rFonts w:ascii="Calibri" w:hAnsi="Calibri"/>
                <w:b w:val="0"/>
                <w:i w:val="0"/>
                <w:sz w:val="20"/>
              </w:rPr>
              <w:t xml:space="preserve"> No </w:t>
            </w: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MAPA-ORG-001</w:t>
            </w:r>
            <w:r>
              <w:rPr>
                <w:rFonts w:ascii="Calibri" w:hAnsi="Calibri"/>
                <w:b w:val="0"/>
                <w:i w:val="0"/>
                <w:sz w:val="20"/>
              </w:rPr>
              <w:t>, AQU é candidato a não-aplicável (nenhum projeto subcontrata desenvolvimento). DataJud/Solucionário/Botmax/AWS/Azure são dependências/insumos de serviço — o conteúdo é reaproveitado em ITP, PCP e na seção de Riscos do PLA, não em um registro AQU.</w:t>
            </w:r>
          </w:p>
        </w:tc>
      </w:tr>
    </w:tbl>
    <w:p>
      <w:pPr>
        <w:spacing w:before="0" w:after="160"/>
      </w:pPr>
    </w:p>
    <w:p>
      <w:pPr>
        <w:pStyle w:val="Heading1"/>
        <w:keepNext/>
        <w:keepLines/>
        <w:pBdr>
          <w:bottom w:val="single" w:sz="4" w:space="2" w:color="D6E4F0"/>
        </w:pBdr>
      </w:pPr>
      <w:r>
        <w:t>3. Dados pendentes (necessários antes de gerar)</w:t>
      </w:r>
    </w:p>
    <w:p>
      <w:pPr>
        <w:spacing w:before="40" w:after="120"/>
        <w:ind w:left="454"/>
        <w:pBdr>
          <w:left w:val="single" w:sz="12" w:space="8" w:color="003366"/>
        </w:pBdr>
      </w:pPr>
      <w:r>
        <w:rPr>
          <w:rFonts w:ascii="Calibri" w:hAnsi="Calibri"/>
          <w:b w:val="0"/>
          <w:i w:val="0"/>
          <w:color w:val="1A5276"/>
          <w:sz w:val="22"/>
        </w:rPr>
        <w:t xml:space="preserve">Como a opção escolhida foi </w:t>
      </w:r>
      <w:r>
        <w:rPr>
          <w:rFonts w:ascii="Calibri" w:hAnsi="Calibri"/>
          <w:b/>
          <w:i w:val="0"/>
          <w:color w:val="1A5276"/>
          <w:sz w:val="22"/>
        </w:rPr>
        <w:t>nomes reais</w:t>
      </w:r>
      <w:r>
        <w:rPr>
          <w:rFonts w:ascii="Calibri" w:hAnsi="Calibri"/>
          <w:b w:val="0"/>
          <w:i w:val="0"/>
          <w:color w:val="1A5276"/>
          <w:sz w:val="22"/>
        </w:rPr>
        <w:t>, os registros de identificação (TAP, PLA, GQA, ATAs) dependem dos dados abaixo. Nada será inventado — onde faltar, o campo fica em aberto e é sinalizado.</w:t>
      </w:r>
    </w:p>
    <w:p>
      <w:pPr>
        <w:spacing w:before="0" w:after="120"/>
      </w:pPr>
      <w:r>
        <w:rPr>
          <w:rFonts w:ascii="Calibri" w:hAnsi="Calibri"/>
          <w:b/>
          <w:i w:val="0"/>
          <w:sz w:val="22"/>
        </w:rPr>
        <w:t>Pessoas (papéis → nomes reais) — ✅ aplicado (v1.2):</w:t>
      </w:r>
    </w:p>
    <w:p>
      <w:pPr>
        <w:pStyle w:val="ListBullet"/>
        <w:spacing w:before="20" w:after="40"/>
      </w:pPr>
      <w:r>
        <w:rPr>
          <w:rFonts w:ascii="Calibri" w:hAnsi="Calibri"/>
          <w:b w:val="0"/>
          <w:i w:val="0"/>
          <w:sz w:val="22"/>
        </w:rPr>
        <w:t xml:space="preserve">Gerente de Projeto / Tech Lead → </w:t>
      </w:r>
      <w:r>
        <w:rPr>
          <w:rFonts w:ascii="Calibri" w:hAnsi="Calibri"/>
          <w:b/>
          <w:i w:val="0"/>
          <w:sz w:val="22"/>
        </w:rPr>
        <w:t>Abraão Oliveira</w:t>
      </w:r>
    </w:p>
    <w:p>
      <w:pPr>
        <w:pStyle w:val="ListBullet"/>
        <w:spacing w:before="20" w:after="40"/>
      </w:pPr>
      <w:r>
        <w:rPr>
          <w:rFonts w:ascii="Calibri" w:hAnsi="Calibri"/>
          <w:b w:val="0"/>
          <w:i w:val="0"/>
          <w:sz w:val="22"/>
        </w:rPr>
        <w:t xml:space="preserve">Arquiteto de Software → </w:t>
      </w:r>
      <w:r>
        <w:rPr>
          <w:rFonts w:ascii="Calibri" w:hAnsi="Calibri"/>
          <w:b/>
          <w:i w:val="0"/>
          <w:sz w:val="22"/>
        </w:rPr>
        <w:t>Cézar Hiraki</w:t>
      </w:r>
    </w:p>
    <w:p>
      <w:pPr>
        <w:pStyle w:val="ListBullet"/>
        <w:spacing w:before="20" w:after="40"/>
      </w:pPr>
      <w:r>
        <w:rPr>
          <w:rFonts w:ascii="Calibri" w:hAnsi="Calibri"/>
          <w:b w:val="0"/>
          <w:i w:val="0"/>
          <w:sz w:val="22"/>
        </w:rPr>
        <w:t xml:space="preserve">Desenvolvedor Sênior (Principal) → </w:t>
      </w:r>
      <w:r>
        <w:rPr>
          <w:rFonts w:ascii="Calibri" w:hAnsi="Calibri"/>
          <w:b/>
          <w:i w:val="0"/>
          <w:sz w:val="22"/>
        </w:rPr>
        <w:t>Raony Chagas</w:t>
      </w:r>
    </w:p>
    <w:p>
      <w:pPr>
        <w:pStyle w:val="ListBullet"/>
        <w:spacing w:before="20" w:after="40"/>
      </w:pPr>
      <w:r>
        <w:rPr>
          <w:rFonts w:ascii="Calibri" w:hAnsi="Calibri"/>
          <w:b w:val="0"/>
          <w:i w:val="0"/>
          <w:sz w:val="22"/>
        </w:rPr>
        <w:t xml:space="preserve">Desenvolvedor (Suporte) → </w:t>
      </w:r>
      <w:r>
        <w:rPr>
          <w:rFonts w:ascii="Calibri" w:hAnsi="Calibri"/>
          <w:b/>
          <w:i w:val="0"/>
          <w:sz w:val="22"/>
        </w:rPr>
        <w:t>Levi Santos</w:t>
      </w:r>
    </w:p>
    <w:p>
      <w:pPr>
        <w:pStyle w:val="ListBullet"/>
        <w:spacing w:before="20" w:after="40"/>
      </w:pPr>
      <w:r>
        <w:rPr>
          <w:rFonts w:ascii="Calibri" w:hAnsi="Calibri"/>
          <w:b w:val="0"/>
          <w:i w:val="0"/>
          <w:sz w:val="22"/>
        </w:rPr>
        <w:t xml:space="preserve">Analista de Testes (QA) → </w:t>
      </w:r>
      <w:r>
        <w:rPr>
          <w:rFonts w:ascii="Calibri" w:hAnsi="Calibri"/>
          <w:b/>
          <w:i w:val="0"/>
          <w:sz w:val="22"/>
        </w:rPr>
        <w:t>Jonatan</w:t>
      </w:r>
    </w:p>
    <w:p>
      <w:pPr>
        <w:pStyle w:val="ListBullet"/>
        <w:spacing w:before="20" w:after="40"/>
      </w:pPr>
      <w:r>
        <w:rPr>
          <w:rFonts w:ascii="Calibri" w:hAnsi="Calibri"/>
          <w:b w:val="0"/>
          <w:i w:val="0"/>
          <w:sz w:val="22"/>
        </w:rPr>
        <w:t xml:space="preserve">Infraestrutura / DevOps → </w:t>
      </w:r>
      <w:r>
        <w:rPr>
          <w:rFonts w:ascii="Calibri" w:hAnsi="Calibri"/>
          <w:b/>
          <w:i w:val="0"/>
          <w:sz w:val="22"/>
        </w:rPr>
        <w:t>David</w:t>
      </w:r>
    </w:p>
    <w:p>
      <w:pPr>
        <w:pStyle w:val="ListBullet"/>
        <w:spacing w:before="20" w:after="40"/>
      </w:pPr>
      <w:r>
        <w:rPr>
          <w:rFonts w:ascii="Calibri" w:hAnsi="Calibri"/>
          <w:b w:val="0"/>
          <w:i w:val="0"/>
          <w:sz w:val="22"/>
        </w:rPr>
        <w:t xml:space="preserve">Representante / sponsor da AASP → </w:t>
      </w:r>
      <w:r>
        <w:rPr>
          <w:rFonts w:ascii="Calibri" w:hAnsi="Calibri"/>
          <w:b/>
          <w:i w:val="0"/>
          <w:sz w:val="22"/>
        </w:rPr>
        <w:t>Carlos Alves</w:t>
      </w:r>
    </w:p>
    <w:p>
      <w:pPr>
        <w:pStyle w:val="ListBullet"/>
        <w:spacing w:before="20" w:after="40"/>
      </w:pPr>
      <w:r>
        <w:rPr>
          <w:rFonts w:ascii="Calibri" w:hAnsi="Calibri"/>
          <w:b w:val="0"/>
          <w:i w:val="0"/>
          <w:sz w:val="22"/>
        </w:rPr>
        <w:t xml:space="preserve">Auditor de GQA (independente) → </w:t>
      </w:r>
      <w:r>
        <w:rPr>
          <w:rFonts w:ascii="Calibri" w:hAnsi="Calibri"/>
          <w:b/>
          <w:i w:val="0"/>
          <w:sz w:val="22"/>
        </w:rPr>
        <w:t>Wilson Yamada</w:t>
      </w:r>
    </w:p>
    <w:p>
      <w:pPr>
        <w:spacing w:before="40" w:after="120"/>
        <w:ind w:left="454"/>
        <w:pBdr>
          <w:left w:val="single" w:sz="12" w:space="8" w:color="003366"/>
        </w:pBdr>
      </w:pPr>
      <w:r>
        <w:rPr>
          <w:rFonts w:ascii="Calibri" w:hAnsi="Calibri"/>
          <w:b w:val="0"/>
          <w:i w:val="0"/>
          <w:color w:val="1A5276"/>
          <w:sz w:val="22"/>
        </w:rPr>
        <w:t>Equipe confirmada com sobrenomes. Cézar Hiraki é o mesmo Arquiteto do projeto FTGASMIG. "Time de Desenvolvimento" = Raony Chagas + Levi Santos.</w:t>
      </w:r>
    </w:p>
    <w:p>
      <w:pPr>
        <w:spacing w:before="0" w:after="120"/>
      </w:pPr>
      <w:r>
        <w:rPr>
          <w:rFonts w:ascii="Calibri" w:hAnsi="Calibri"/>
          <w:b/>
          <w:i w:val="0"/>
          <w:sz w:val="22"/>
        </w:rPr>
        <w:t>Outros dados:</w:t>
      </w:r>
    </w:p>
    <w:p>
      <w:pPr>
        <w:pStyle w:val="ListBullet"/>
        <w:spacing w:before="20" w:after="40"/>
      </w:pPr>
      <w:r>
        <w:rPr>
          <w:rFonts w:ascii="Calibri" w:hAnsi="Calibri"/>
          <w:b w:val="0"/>
          <w:i w:val="0"/>
          <w:sz w:val="22"/>
        </w:rPr>
        <w:t>Contrato / forma de contratação com a AASP (TAP) — ex.: alocação de squad, OS, contrato fechado.</w:t>
      </w:r>
    </w:p>
    <w:p>
      <w:pPr>
        <w:pStyle w:val="ListBullet"/>
        <w:spacing w:before="20" w:after="40"/>
      </w:pPr>
      <w:r>
        <w:rPr>
          <w:rFonts w:ascii="Calibri" w:hAnsi="Calibri"/>
          <w:b w:val="0"/>
          <w:i w:val="0"/>
          <w:sz w:val="22"/>
        </w:rPr>
        <w:t>GQA (seção 9 está rasa): marcos auditados, datas, itens verificados, % de conformidade e desvios.</w:t>
      </w:r>
    </w:p>
    <w:p>
      <w:pPr>
        <w:pStyle w:val="ListBullet"/>
        <w:spacing w:before="20" w:after="40"/>
      </w:pPr>
      <w:r>
        <w:rPr>
          <w:rFonts w:ascii="Calibri" w:hAnsi="Calibri"/>
          <w:b w:val="0"/>
          <w:i w:val="0"/>
          <w:sz w:val="22"/>
        </w:rPr>
        <w:t>Baseline de configuração entregue (GCO) — confirmar a tag de versão (o doc cita "v240").</w:t>
      </w:r>
    </w:p>
    <w:p>
      <w:pPr>
        <w:pStyle w:val="ListBullet"/>
        <w:spacing w:before="20" w:after="40"/>
      </w:pPr>
      <w:r>
        <w:rPr>
          <w:rFonts w:ascii="Calibri" w:hAnsi="Calibri"/>
          <w:b w:val="0"/>
          <w:i w:val="0"/>
          <w:sz w:val="22"/>
        </w:rPr>
        <w:t xml:space="preserve">MED: confirmar se mapeamos os indicadores da seção 8 para o conjunto padrão M1–M9 do </w:t>
      </w:r>
      <w:r>
        <w:rPr>
          <w:rFonts w:ascii="Courier New" w:hAnsi="Courier New"/>
          <w:b w:val="0"/>
          <w:i w:val="0"/>
          <w:color w:val="333333"/>
          <w:sz w:val="20"/>
        </w:rPr>
        <w:t>PLA-MED-001</w:t>
      </w:r>
      <w:r>
        <w:rPr>
          <w:rFonts w:ascii="Calibri" w:hAnsi="Calibri"/>
          <w:b w:val="0"/>
          <w:i w:val="0"/>
          <w:sz w:val="22"/>
        </w:rPr>
        <w:t xml:space="preserve"> ou mantemos os indicadores próprios do projeto.</w:t>
      </w:r>
    </w:p>
    <w:p>
      <w:pPr>
        <w:spacing w:before="0" w:after="120"/>
      </w:pPr>
      <w:r>
        <w:rPr>
          <w:rFonts w:ascii="Calibri" w:hAnsi="Calibri"/>
          <w:b/>
          <w:i w:val="0"/>
          <w:sz w:val="22"/>
        </w:rPr>
        <w:t>Decisões de adaptação (ADAP)</w:t>
      </w:r>
      <w:r>
        <w:rPr>
          <w:rFonts w:ascii="Calibri" w:hAnsi="Calibri"/>
          <w:b w:val="0"/>
          <w:i w:val="0"/>
          <w:sz w:val="22"/>
        </w:rPr>
        <w:t xml:space="preserve"> — proponho a partir do doc, para sua validação:</w:t>
      </w:r>
    </w:p>
    <w:p>
      <w:pPr>
        <w:pStyle w:val="ListBullet"/>
        <w:spacing w:before="20" w:after="40"/>
      </w:pPr>
      <w:r>
        <w:rPr>
          <w:rFonts w:ascii="Calibri" w:hAnsi="Calibri"/>
          <w:b w:val="0"/>
          <w:i w:val="0"/>
          <w:sz w:val="22"/>
        </w:rPr>
        <w:t>Ausência de ambiente de Elasticsearch dedicado → homologação por amostragem (restrição 2.5).</w:t>
      </w:r>
    </w:p>
    <w:p>
      <w:pPr>
        <w:pStyle w:val="ListBullet"/>
        <w:spacing w:before="20" w:after="40"/>
      </w:pPr>
      <w:r>
        <w:rPr>
          <w:rFonts w:ascii="Calibri" w:hAnsi="Calibri"/>
          <w:b w:val="0"/>
          <w:i w:val="0"/>
          <w:sz w:val="22"/>
        </w:rPr>
        <w:t>Acúmulo de papéis (Dev Sênior atuando também em testes nas fases iniciais).</w:t>
      </w:r>
    </w:p>
    <w:p>
      <w:pPr>
        <w:pStyle w:val="ListBullet"/>
        <w:spacing w:before="20" w:after="40"/>
      </w:pPr>
      <w:r>
        <w:rPr>
          <w:rFonts w:ascii="Calibri" w:hAnsi="Calibri"/>
          <w:b w:val="0"/>
          <w:i w:val="0"/>
          <w:sz w:val="22"/>
        </w:rPr>
        <w:t>Nível de documentação e rito de GMUD para implantação.</w:t>
      </w:r>
    </w:p>
    <w:p>
      <w:pPr>
        <w:pStyle w:val="Heading1"/>
        <w:keepNext/>
        <w:keepLines/>
        <w:pBdr>
          <w:bottom w:val="single" w:sz="4" w:space="2" w:color="D6E4F0"/>
        </w:pBdr>
      </w:pPr>
      <w:r>
        <w:t>4. Observações de classificação</w:t>
      </w:r>
    </w:p>
    <w:p>
      <w:pPr>
        <w:pStyle w:val="ListBullet"/>
        <w:spacing w:before="20" w:after="40"/>
      </w:pPr>
      <w:r>
        <w:rPr>
          <w:rFonts w:ascii="Calibri" w:hAnsi="Calibri"/>
          <w:b/>
          <w:i w:val="0"/>
          <w:sz w:val="22"/>
        </w:rPr>
        <w:t>Seção 4 do doc-fonte está rotulada "(OSW)"</w:t>
      </w:r>
      <w:r>
        <w:rPr>
          <w:rFonts w:ascii="Calibri" w:hAnsi="Calibri"/>
          <w:b w:val="0"/>
          <w:i w:val="0"/>
          <w:sz w:val="22"/>
        </w:rPr>
        <w:t xml:space="preserve">, mas o conteúdo (arquitetura, componentes, fallback) é de </w:t>
      </w:r>
      <w:r>
        <w:rPr>
          <w:rFonts w:ascii="Calibri" w:hAnsi="Calibri"/>
          <w:b/>
          <w:i w:val="0"/>
          <w:sz w:val="22"/>
        </w:rPr>
        <w:t>PCP</w:t>
      </w:r>
      <w:r>
        <w:rPr>
          <w:rFonts w:ascii="Calibri" w:hAnsi="Calibri"/>
          <w:b w:val="0"/>
          <w:i w:val="0"/>
          <w:sz w:val="22"/>
        </w:rPr>
        <w:t>. O registro será gerado como PCP-AASPCNJ01-001. OSW é processo organizacional, não de projeto.</w:t>
      </w:r>
    </w:p>
    <w:p>
      <w:pPr>
        <w:pStyle w:val="ListBullet"/>
        <w:spacing w:before="20" w:after="40"/>
      </w:pPr>
      <w:r>
        <w:rPr>
          <w:rFonts w:ascii="Calibri" w:hAnsi="Calibri"/>
          <w:b/>
          <w:i w:val="0"/>
          <w:sz w:val="22"/>
        </w:rPr>
        <w:t>Formato:</w:t>
      </w:r>
      <w:r>
        <w:rPr>
          <w:rFonts w:ascii="Calibri" w:hAnsi="Calibri"/>
          <w:b w:val="0"/>
          <w:i w:val="0"/>
          <w:sz w:val="22"/>
        </w:rPr>
        <w:t xml:space="preserve"> registros produzidos em Markdown (</w:t>
      </w:r>
      <w:r>
        <w:rPr>
          <w:rFonts w:ascii="Courier New" w:hAnsi="Courier New"/>
          <w:b w:val="0"/>
          <w:i w:val="0"/>
          <w:color w:val="333333"/>
          <w:sz w:val="20"/>
        </w:rPr>
        <w:t>.md</w:t>
      </w:r>
      <w:r>
        <w:rPr>
          <w:rFonts w:ascii="Calibri" w:hAnsi="Calibri"/>
          <w:b w:val="0"/>
          <w:i w:val="0"/>
          <w:sz w:val="22"/>
        </w:rPr>
        <w:t>); conversão para Word apenas quando solicitado.</w:t>
      </w:r>
    </w:p>
    <w:p>
      <w:pPr>
        <w:pStyle w:val="Heading1"/>
        <w:keepNext/>
        <w:keepLines/>
        <w:pBdr>
          <w:bottom w:val="single" w:sz="4" w:space="2" w:color="D6E4F0"/>
        </w:pBdr>
      </w:pPr>
      <w:r>
        <w:t>Histórico de revisões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2225"/>
        <w:gridCol w:w="2225"/>
        <w:gridCol w:w="2225"/>
        <w:gridCol w:w="2225"/>
      </w:tblGrid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Versão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Data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Autor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Descrição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1.0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11/06/2026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Time de Melhoria Contínua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Criação do índice-mestre de registros do projeto AASPCNJ01 a partir do documento-fonte consolidado v1.0. Estrutura definida; conteúdo dos registros a produzir.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1.1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11/06/2026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Time de Melhoria Contínua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Ondas 1 e 2 geradas (18 registros .md). Status atualizado para ✅. Pendentes: planilha de gestão (GEST) e Onda 3 (encerramento). Documentos com papéis genéricos — substituição por nomes reais pendente.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1.2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12/06/2026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Time de Melhoria Contínua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Nomes reais aplicados aos 18 registros (Abraão Oliveira, Cézar Hiraki, Raony Chagas, Levi Santos, Jonatan, David, Carlos Alves; auditor GQA Wilson Yamada) — 71 substituições nos campos de identificação/responsável. Pendentes: planilha de gestão (GEST) e Onda 3 (encerramento).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1.3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12/06/2026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Time de Melhoria Contínua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Planilha GEST-AASPCNJ01 gerada (11 abas; backlog de 20 histórias/155 SP e 48 tarefas derivados dos requisitos, com sprints — base para Jira). PLA/ADAP/MED/GCO/RASTR/RAC atualizados com o modelo de sprints/SP e referência à planilha. Pendente: Onda 3 (encerramento).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1.4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12/06/2026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Time de Melhoria Contínua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Sobrenomes aplicados (Raony Chagas, Levi Santos) nos .md e na planilha; .docx regenerados. Criado COLETA-EVIDENCIAS_AASPCNJ (interno) para levantamento de evidências técnicas com o Tech Lead/Dev.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1.5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12/06/2026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Time de Melhoria Contínua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Sobrenome do Arquiteto confirmado: Cézar Hiraki — aplicado nos 18 registros e na planilha; .docx regenerados. Equipe completa.</w:t>
            </w:r>
          </w:p>
        </w:tc>
      </w:tr>
    </w:tbl>
    <w:p>
      <w:pPr>
        <w:spacing w:before="0" w:after="160"/>
      </w:pPr>
    </w:p>
    <w:sectPr w:rsidR="00FC693F" w:rsidRPr="0006063C" w:rsidSect="00034616">
      <w:headerReference w:type="default" r:id="rId9"/>
      <w:headerReference w:type="first" r:id="rId10"/>
      <w:footerReference w:type="default" r:id="rId11"/>
      <w:footerReference w:type="first" r:id="rId12"/>
      <w:pgSz w:w="11906" w:h="16838"/>
      <w:pgMar w:top="1587" w:right="1417" w:bottom="1417" w:left="1587" w:header="720" w:footer="720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tabs>
        <w:tab w:val="right" w:pos="8901"/>
      </w:tabs>
      <w:pBdr>
        <w:top w:val="single" w:sz="4" w:space="4" w:color="003366"/>
      </w:pBdr>
      <w:spacing w:before="80" w:after="0"/>
    </w:pPr>
    <w:r>
      <w:rPr>
        <w:rFonts w:ascii="Calibri" w:hAnsi="Calibri"/>
        <w:color w:val="555555"/>
        <w:sz w:val="16"/>
      </w:rPr>
      <w:t>vData  ·  11/06/2026</w:t>
    </w:r>
    <w:r>
      <w:tab/>
    </w:r>
    <w:r>
      <w:rPr>
        <w:rFonts w:ascii="Calibri" w:hAnsi="Calibri"/>
        <w:color w:val="555555"/>
        <w:sz w:val="16"/>
      </w:rPr>
      <w:t xml:space="preserve">Página </w:t>
    </w:r>
    <w:r>
      <w:rPr>
        <w:rFonts w:ascii="Calibri" w:hAnsi="Calibri"/>
        <w:sz w:val="16"/>
      </w:rPr>
      <w:fldChar w:fldCharType="begin"/>
      <w:instrText xml:space="preserve"> PAGE </w:instrText>
      <w:fldChar w:fldCharType="end"/>
    </w:r>
    <w:r>
      <w:rPr>
        <w:rFonts w:ascii="Calibri" w:hAnsi="Calibri"/>
        <w:color w:val="555555"/>
        <w:sz w:val="16"/>
      </w:rPr>
      <w:t xml:space="preserve"> de </w:t>
    </w:r>
    <w:r>
      <w:rPr>
        <w:rFonts w:ascii="Calibri" w:hAnsi="Calibri"/>
        <w:sz w:val="16"/>
      </w:rPr>
      <w:fldChar w:fldCharType="begin"/>
      <w:instrText xml:space="preserve"> NUMPAGES </w:instrText>
      <w:fldChar w:fldCharType="end"/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tabs>
        <w:tab w:val="right" w:pos="8901"/>
      </w:tabs>
      <w:pBdr>
        <w:top w:val="single" w:sz="4" w:space="4" w:color="003366"/>
      </w:pBdr>
      <w:spacing w:before="80" w:after="0"/>
    </w:pPr>
    <w:r>
      <w:rPr>
        <w:rFonts w:ascii="Calibri" w:hAnsi="Calibri"/>
        <w:color w:val="555555"/>
        <w:sz w:val="16"/>
      </w:rPr>
      <w:t>vData  ·  11/06/2026</w:t>
    </w:r>
    <w:r>
      <w:tab/>
    </w:r>
    <w:r>
      <w:rPr>
        <w:rFonts w:ascii="Calibri" w:hAnsi="Calibri"/>
        <w:color w:val="555555"/>
        <w:sz w:val="16"/>
      </w:rPr>
      <w:t xml:space="preserve">Página </w:t>
    </w:r>
    <w:r>
      <w:rPr>
        <w:rFonts w:ascii="Calibri" w:hAnsi="Calibri"/>
        <w:sz w:val="16"/>
      </w:rPr>
      <w:fldChar w:fldCharType="begin"/>
      <w:instrText xml:space="preserve"> PAGE </w:instrText>
      <w:fldChar w:fldCharType="end"/>
    </w:r>
    <w:r>
      <w:rPr>
        <w:rFonts w:ascii="Calibri" w:hAnsi="Calibri"/>
        <w:color w:val="555555"/>
        <w:sz w:val="16"/>
      </w:rPr>
      <w:t xml:space="preserve"> de </w:t>
    </w:r>
    <w:r>
      <w:rPr>
        <w:rFonts w:ascii="Calibri" w:hAnsi="Calibri"/>
        <w:sz w:val="16"/>
      </w:rPr>
      <w:fldChar w:fldCharType="begin"/>
      <w:instrText xml:space="preserve"> NUMPAGES 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tabs>
        <w:tab w:val="right" w:pos="8901"/>
      </w:tabs>
      <w:pBdr>
        <w:bottom w:val="single" w:sz="8" w:space="4" w:color="003366"/>
      </w:pBdr>
      <w:spacing w:before="0" w:after="80"/>
    </w:pPr>
    <w:r>
      <w:rPr>
        <w:rFonts w:ascii="Calibri" w:hAnsi="Calibri"/>
        <w:b/>
        <w:color w:val="003366"/>
        <w:sz w:val="18"/>
      </w:rPr>
      <w:t>TIMEWARE</w:t>
    </w:r>
    <w:r>
      <w:rPr>
        <w:rFonts w:ascii="Calibri" w:hAnsi="Calibri"/>
        <w:color w:val="555555"/>
        <w:sz w:val="18"/>
      </w:rPr>
      <w:t xml:space="preserve">   ·   AASPCNJ01</w:t>
    </w:r>
    <w:r>
      <w:tab/>
    </w:r>
    <w:r>
      <w:rPr>
        <w:rFonts w:ascii="Calibri" w:hAnsi="Calibri"/>
        <w:color w:val="555555"/>
        <w:sz w:val="18"/>
      </w:rPr>
      <w:t>Evidência de Projeto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Rule="auto" w:line="276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120"/>
      <w:outlineLvl w:val="0"/>
    </w:pPr>
    <w:rPr>
      <w:rFonts w:asciiTheme="majorHAnsi" w:eastAsiaTheme="majorEastAsia" w:hAnsiTheme="majorHAnsi" w:cstheme="majorBidi" w:ascii="Calibri" w:hAnsi="Calibri"/>
      <w:b/>
      <w:bCs/>
      <w:color w:val="003366"/>
      <w:sz w:val="2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80"/>
      <w:outlineLvl w:val="1"/>
    </w:pPr>
    <w:rPr>
      <w:rFonts w:asciiTheme="majorHAnsi" w:eastAsiaTheme="majorEastAsia" w:hAnsiTheme="majorHAnsi" w:cstheme="majorBidi" w:ascii="Calibri" w:hAnsi="Calibri"/>
      <w:b/>
      <w:bCs/>
      <w:color w:val="1A5276"/>
      <w:sz w:val="22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60" w:after="40"/>
      <w:outlineLvl w:val="2"/>
    </w:pPr>
    <w:rPr>
      <w:rFonts w:asciiTheme="majorHAnsi" w:eastAsiaTheme="majorEastAsia" w:hAnsiTheme="majorHAnsi" w:cstheme="majorBidi" w:ascii="Calibri" w:hAnsi="Calibri"/>
      <w:b/>
      <w:bCs/>
      <w:i/>
      <w:color w:val="1A5276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header" Target="header2.xml"/><Relationship Id="rId11" Type="http://schemas.openxmlformats.org/officeDocument/2006/relationships/footer" Target="footer1.xml"/><Relationship Id="rId12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