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ADAPTAÇÃO DO PROCESSO — AASP_ANDAMENTOSPROCESSUAIS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ADAP-AASPAP01-001   ·   Versão 1.0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ADAP-AASPAP01-001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AASP_AndamentosProcessuais — Refatoração da Solução de Captura de Andamentos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Responsável pela adaptação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GPC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Decisões de adaptação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Adaptação do processo-padrão (PRO-GPC-001) a este projeto, conforme o GUIA-GPC-001.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Eixo de adaptação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Justificativa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Tipo de produto (com/sem front-end)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Sem UX/UI — apenas back-end/refatoração e arquitetura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solução é a refatoração de serviços de retaguarda (API e CapturaServer); não há interface de usuário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Origem dos requisitos e do design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 elabora; AASP valida e homologa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Os requisitos derivam de necessidades operacionais da captura; o cliente valida resultados e aceita as entregas por fase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Nível de documentação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Reforçado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Projeto sob avaliação de certificação MPS-SW Nível C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Porte do projeto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Médio → formalidade padrão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~348 h estimadas, ~6,5 meses, ciclo compartilhado com o projeto irmão AASP_CNJ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Equipe e papéis (acúmulo)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Tech Lead acumula DevOps e Arquiteto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Equipe enxuta; Cézar Hiraki Velázquez concentra Tech Lead, DevOps e Arquiteto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Estimativa e cadência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Gestão por horas/cards no ClickUp; sem story points (gestão por fases)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solução legada e o ciclo compartilhado com o AASP_CNJ favorecem a gestão por atividades (ver GEST-AASPAP01)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 de revisão de código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 no Azure DevOps, revisada por ≥1 membro além do autor (GitFlow)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Garantia de qualidade do código e rastreabilidade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 de entrega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GMUD — pacotes versionados + DDL no Azure DevOps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Solução legada em produção; mudanças controladas por GMUD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Ambiente de stage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adotado — homologação por amostragem, ambiente compartilhado com AASP_CNJ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há Elasticsearch dedicado para testes; ciclo coordenado entre os dois projetos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2. Etapas aplicáveis e não aplicáveis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Etapa / artefato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Aplicável?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Design de UX/UI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Projeto sem front-end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Mapa de teste por história (story)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Projeto não usa histórias/SP; testes organizados por cenário (CT-01 a CT-12) e fase (ver VV-AASPAP01-001)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Documento de Design (arquitetura)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PCP-AASPAP01-001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Estratégia de Integração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ITP-AASPAP01-001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e execução de V&amp;V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VV-AASPAP01-001 e REL-VV-AASPAP01-001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Gerência de Configuração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GCO-AASPAP01-001 (GitFlow + GMUD)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decisões (GDE)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GDE-AASPAP01-001 (decisões D01–D07)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Aquisição (AQU)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há subcontratação de desenvolvimento; APIs/infra de terceiros são insumos de serviço, tratados em ITP/PCP e Riscos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Pontos de controle obrigatórios (não adaptáveis)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[x] Requisitos especificados e validados (REQ-AASPAP01-001)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[x] Plano de Projeto aprovado (baseline REG-AASPAP01-001 v1.0, 08/06/2026)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[x] Definição de Pronto aplicada (cenários de aceite CT-01 a CT-12, 100% aprovados — ver VV)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[x] Verificação e validação realizadas (VV / REL-VV)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 ] Encerramento formal com aceite total — encerramento previsto 30/06/2026 (Fase 5 — implantação em andamento)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ponto em aberto refere-se ao marco de encerramento total e será registrado ao final do projeto (TAE-AASPAP01-001 e a ata de aceite), conforme o estágio atual. O aceite por fase já ocorreu (Fases 1–2: Mar/2026; Fases 3–4: Jun/2026).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Controle de atualizações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 da mudança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adaptação consolidado a partir do Registro de Projeto AASP_AndamentosProcessuais (REG-AASPAP01-001 v1.0, 08/06/2026) e do levantamento de projeto (GEST-AASPAP01).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Sim</w:t>
    </w:r>
    <w:r>
      <w:tab/>
    </w:r>
    <w:r>
      <w:rPr>
        <w:rFonts w:ascii="Calibri" w:hAnsi="Calibri"/>
        <w:color w:val="555555"/>
        <w:sz w:val="18"/>
      </w:rPr>
      <w:t>Evidência de Projeto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