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DE HOMOLOGAÇÃO EPROC/ESAJ E DEVOLUTIVA AOS ASSOCIADOS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Incluir um escopo adicional de homologação da captura EPROC/ESAJ por amostragem e a devolutiva aos associados da AASP sobre o resultado em produção, durante as Fases 1–2.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Garantir a validação dos critérios de aceite em ambiente compartilhado (sem Elasticsearch dedicado) e dar retorno formal aos associados sobre o monitoramento dos processos.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homologação por amostragem + devolutiva aos associados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h, absorvidas na Fase 2 — sem impacto no prazo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atividade de validação reduz o risco de regressão (R-01)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CR-AASPAP01-001 (homologação EPROC/ESAJ e devolutiva),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