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DA FASE 4 (OBSERVACAO, SEGREDO, CODIGOFONTEAPI E TRATAMENTOS DE ERRO)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CR-AASPAP01-002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4, o tratamento de erros por instância via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), 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), a atualização de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em múltiplas rotinas e o desmembramento do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para priorização de retorno.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instância: um processo pode estar em segredo (ou falhar) em uma instância e não em outra, exigindo controle e registro de erro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RF07–RF09, RF11 e RF12 (erros por instância, segredo e desmembramento do RunUpdater; CodigoFonteAPI/RF10 entregue na Fase 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h; atraso de ~30 dias vs. prazo original da Fase 4, absorvido — deadline final mantido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time, sem custo extra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comportamento inconsistente das parceiras (R-02) e perda transitória no webhook (R-05) endereçados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§3.5; GDE-AASPAP01-001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CR-AASPAP01-002 (escopo adicional da Fase 4), a partir da Planilha de Gestão GEST-AASPAP01 (aba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