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 (Discovery)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(GP / Tech Lead) · Cézar Hiraki Velázquez (Arquiteto)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oferece a seus associados uma plataforma centralizada de monitoramento de processos judiciais em múltiplos tribunais. A Timeware opera o sistema de captura que consulta as fontes dos tribunais e persiste os dados na base da AASP, indexando-os em Elasticsearch. O modelo de captura vigente apresentava instabilidade dos crawlers, cobertura incompleta, custo elevado (~R$ 16.500/mês) e arquitetura monolítica sem observabilidade. A fila de processamento chegou a acumular 137 mil itens não processados. O objetivo é reconstruir a captura com base em um agente nativo EPROC/ESAJ para o TJSP e na API DataJud/CNJ como fonte primária universal, com roteamento por processo e fallback estruturado.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Associados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confiável e atualizado dos andamentos em todos os tribunais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ampla, custo reduzido e estabilidade da 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Timeware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Observabilidade, reprocessamento seletivo e escalonamento independente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(serviço Windows que identifica NUPs pendentes e os enfileira no RabbitMQ)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(workers que leem a fila, consultam as fontes e enviam os resultados à API AndamentosProcessuais via webhook). O roteamento de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Projeto de back-end, </w:t>
      </w:r>
      <w:r>
        <w:rPr>
          <w:rFonts w:ascii="Calibri" w:hAnsi="Calibri"/>
          <w:b/>
          <w:i w:val="0"/>
          <w:sz w:val="22"/>
        </w:rPr>
        <w:t>sem interface de usuário</w:t>
      </w:r>
      <w:r>
        <w:rPr>
          <w:rFonts w:ascii="Calibri" w:hAnsi="Calibri"/>
          <w:b w:val="0"/>
          <w:i w:val="0"/>
          <w:sz w:val="22"/>
        </w:rPr>
        <w:t xml:space="preserve"> (UX/UI não aplicável).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Consultar a API DataJud/CNJ como fonte primária para todos os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Instabilidade de crawler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Capturar via engine EPROC/ESAJ para processos do TJSP quando a API CNJ não retornar 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monolítica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Ler a fila RabbitMQ de forma unificada, independente do tribunal de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identificar e desligar o processo nas APIs parceiras, registrando log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 o token Bearer da API CNJ de forma compartilhada entre instâncias, com renovação automática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rastrear a fonte de cada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fallback para APIs parceiras quando CNJ e EPROC/ESAJ falharem, por ordem de 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todos os retornos das parceiras: NUP inválido, vazio/aguardando, erro total e 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erros detalhados no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das tabelas de controle,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Identificar e registrar processos em segredo de justiça por instância, diferenciando acessíveis de restritas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os dados capturados à API AndamentosProcessuais via webhook para indexação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CapturaServer deve enfileirar todos os processos no RabbitMQ de forma unificada, independente do tribunal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Desempenho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Suportar múltiplos workers concorrentes na mesma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conflito de token ou de reserva de NUP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Retomar o processamento após travamento de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intervenção manual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todos os estados de captura nas tabelas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Data, status e observação de erro quando aplicável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Permitir adição de novas fontes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refatoração do fluxo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e renovar o token Bearer da CNJ de forma centralizada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exposição em logs de aplicação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Reduzir o custo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≥ R$ 150.000 anuais vs. modelo anterior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 (fallback obrigatório).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por amostragem, sem ambiente de Elasticsearch dedicado para testes.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declarada e custo de R$ 0,01/processo.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fornecem as credenciais necessárias via gerenciador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(RF-01, RF-05, RF-11)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com o time e validação de fluxo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(ATA-AASPCNJ01-001)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e critérios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fluxo e 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(ver VV-AASPCNJ01-001 e REL-VV-AASPCNJ01-001)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dos objetivos de cobertura, custo e estabilidade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assumido na apresentação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