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DO PROCESSO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ADAP-AASPCNJ01-001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Decisões de adaptação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Adaptação do processo-padrão (PRO-GPC-001) a este projeto, conforme o GUIA-GPC-001.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Eixo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 de produto (com/sem front-end)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UX/UI — apenas back-end/worker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é um agente de captura e serviços de retaguarda; não há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Origem dos requisitos e do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elabora; AASP valida e homologa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 requisitos derivam de problemas operacionais da captura; o cliente valida resultados e aceita as entregas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Porte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→ formalidade 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~586 h estimadas, ~9 meses, dois projetos correlatos (id 213 EPROC e id 256 CNJ)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 papéis (acúmulo)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Sênior acumulou execução de testes nas fases iniciais; GP acumulou responsável por GCO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Analista de Testes dedicado a partir da Fase 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acompanhada por horas/cards no ClickUp; backlog modelado retroativamente em sprints e story points para evidência e carga no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Concilia a gestão real com a rastreabilidade ágil (ver GEST-AASPCNJ01)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Cadência de entrega ao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marco/fase, com devolutivas ao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Acordada com a AASP; resultados comunicados por fase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adotado — homologação por amostragem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havia ambiente de Elasticsearch dedicado para testes; validação por repetição do mesmo processo na fila sem impacto no índice de produção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Etapas aplicáveis e não aplicáveis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/ artefato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Aplicável?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sem front-end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 de teste por história (story)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organizados por fluxo e fase (ver VV-AASPCNJ01-001)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(arquitetura)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e execução de V&amp;V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 e REL-VV-AASPCNJ01-001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Gerência de Configuração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 (GitFlow + GMUD)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decisões (GDE)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Aquisição (AQU)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subcontratação de desenvolvimento; APIs/infra de terceiros são insumos de serviço, tratados em ITP/PCP e Riscos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Pontos de controle obrigatórios (não adaptáveis)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Requisitos especificados e validados (REQ-AASPCNJ01-001)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Plano de Projeto aprovado pelo cliente (baseline) — a registrar no encerramento (projeto em execução)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Definição de Pronto aplicada (critérios de aceite CA01–CA07, ver 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Verificação e validação realizadas (VV / REL-VV)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Encerramento formal com aceite — Onda 3 (encerramento previsto 30/06/2026)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dois pontos em aberto referem-se a marcos de encerramento e serão registrados ao final do projeto (TAE-AASPCNJ01-001 e a ata de aceite), conforme o estágio atual.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Sim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