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GERÊNCIA DE DECISÕES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PRO-GDE-001   ·   Versão 1.3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PRO-GDE-001 — Processo de Gerência de Decisões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processo define como a Timeware conduz </w:t>
      </w:r>
      <w:r>
        <w:rPr>
          <w:rFonts w:ascii="Calibri" w:hAnsi="Calibri"/>
          <w:b/>
          <w:i w:val="0"/>
          <w:sz w:val="22"/>
        </w:rPr>
        <w:t>decisões relevantes</w:t>
      </w:r>
      <w:r>
        <w:rPr>
          <w:rFonts w:ascii="Calibri" w:hAnsi="Calibri"/>
          <w:b w:val="0"/>
          <w:i w:val="0"/>
          <w:sz w:val="22"/>
        </w:rPr>
        <w:t xml:space="preserve"> de forma estruturada — com análise de alternativas e critérios objetivos —, garantindo que escolhas de alto impacto sejam fundamentadas, registradas e rastreáveis, em vez de tomadas apenas por intuição ou conveniência do momento.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Princípio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Nem toda decisão exige análise formal. Aplicar o processo a escolhas triviais geraria burocracia desnecessária. Por isso, a Timeware define </w:t>
      </w:r>
      <w:r>
        <w:rPr>
          <w:rFonts w:ascii="Calibri" w:hAnsi="Calibri"/>
          <w:b/>
          <w:i w:val="0"/>
          <w:sz w:val="22"/>
        </w:rPr>
        <w:t>gatilhos</w:t>
      </w:r>
      <w:r>
        <w:rPr>
          <w:rFonts w:ascii="Calibri" w:hAnsi="Calibri"/>
          <w:b w:val="0"/>
          <w:i w:val="0"/>
          <w:sz w:val="22"/>
        </w:rPr>
        <w:t xml:space="preserve"> (seção 3) que determinam quando uma decisão merece o tratamento formal descrito neste documento. Decisões fora desses gatilhos seguem o curso normal do trabalho.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Quando aplicar decisão formal — gatilhos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Uma decisão deve seguir o processo formal quando atende a </w:t>
      </w:r>
      <w:r>
        <w:rPr>
          <w:rFonts w:ascii="Calibri" w:hAnsi="Calibri"/>
          <w:b/>
          <w:i w:val="0"/>
          <w:sz w:val="22"/>
        </w:rPr>
        <w:t>pelo menos um</w:t>
      </w:r>
      <w:r>
        <w:rPr>
          <w:rFonts w:ascii="Calibri" w:hAnsi="Calibri"/>
          <w:b w:val="0"/>
          <w:i w:val="0"/>
          <w:sz w:val="22"/>
        </w:rPr>
        <w:t xml:space="preserve"> dos gatilhos abaixo: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Gatilho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Decisão de arquitetura ou técnica relevante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Escolha de padrão arquitetural, estrutura de dados estruturante, estratégia de integração.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Escolha de tecnologia, ferramenta ou fornecedor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Adoção de framework, linguagem, serviço de terceiro, plataforma.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Alto impacto, risco ou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que afeta prazo ou custo em mais de 10% do planejado; ou que altera itens críticos de qualidade/arquitetura; ou que envolve risco com exposição Alta (conforme EST-GPC-002).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Irreversibilidade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difícil ou custosa de reverter depois de tomada.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Quando uma decisão </w:t>
      </w:r>
      <w:r>
        <w:rPr>
          <w:rFonts w:ascii="Calibri" w:hAnsi="Calibri"/>
          <w:b/>
          <w:i w:val="0"/>
          <w:sz w:val="22"/>
        </w:rPr>
        <w:t>não</w:t>
      </w:r>
      <w:r>
        <w:rPr>
          <w:rFonts w:ascii="Calibri" w:hAnsi="Calibri"/>
          <w:b w:val="0"/>
          <w:i w:val="0"/>
          <w:sz w:val="22"/>
        </w:rPr>
        <w:t xml:space="preserve"> atende a nenhum gatilho, ela é tomada no fluxo normal, sem necessidade de registro formal — cabendo ao Gerente de Projeto ou Tech Lead o bom senso de elevar ao processo formal um caso limítrofe.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Como conduzir a decisão formal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 formal segue seis passos: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Definir o problema/decisão:</w:t>
      </w:r>
      <w:r>
        <w:rPr>
          <w:rFonts w:ascii="Calibri" w:hAnsi="Calibri"/>
          <w:b w:val="0"/>
          <w:i w:val="0"/>
          <w:sz w:val="22"/>
        </w:rPr>
        <w:t xml:space="preserve"> descrever claramente o que precisa ser decidido e o contexto.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Levantar alternativas:</w:t>
      </w:r>
      <w:r>
        <w:rPr>
          <w:rFonts w:ascii="Calibri" w:hAnsi="Calibri"/>
          <w:b w:val="0"/>
          <w:i w:val="0"/>
          <w:sz w:val="22"/>
        </w:rPr>
        <w:t xml:space="preserve"> identificar as opções viáveis (no mínimo duas), evitando decidir sobre uma única opção.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Definir critérios de avaliação:</w:t>
      </w:r>
      <w:r>
        <w:rPr>
          <w:rFonts w:ascii="Calibri" w:hAnsi="Calibri"/>
          <w:b w:val="0"/>
          <w:i w:val="0"/>
          <w:sz w:val="22"/>
        </w:rPr>
        <w:t xml:space="preserve"> estabelecer os critérios e seus pesos (por exemplo: custo, prazo, complexidade, risco, aderência ao requisito, manutenibilidade).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Definir o método de avaliação:</w:t>
      </w:r>
      <w:r>
        <w:rPr>
          <w:rFonts w:ascii="Calibri" w:hAnsi="Calibri"/>
          <w:b w:val="0"/>
          <w:i w:val="0"/>
          <w:sz w:val="22"/>
        </w:rPr>
        <w:t xml:space="preserve"> como as alternativas serão comparadas (por exemplo, matriz de decisão pontuando cada alternativa em cada critério).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Avaliar as alternativas:</w:t>
      </w:r>
      <w:r>
        <w:rPr>
          <w:rFonts w:ascii="Calibri" w:hAnsi="Calibri"/>
          <w:b w:val="0"/>
          <w:i w:val="0"/>
          <w:sz w:val="22"/>
        </w:rPr>
        <w:t xml:space="preserve"> aplicar o método, comparar os resultados e identificar a alternativa recomendada.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Decidir e registrar:</w:t>
      </w:r>
      <w:r>
        <w:rPr>
          <w:rFonts w:ascii="Calibri" w:hAnsi="Calibri"/>
          <w:b w:val="0"/>
          <w:i w:val="0"/>
          <w:sz w:val="22"/>
        </w:rPr>
        <w:t xml:space="preserve"> tomar a decisão, registrar a justificativa e comunicar aos envolvidos.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Registro de Análise de Decisão (RAD)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Cada decisão formal é documentada em um </w:t>
      </w:r>
      <w:r>
        <w:rPr>
          <w:rFonts w:ascii="Calibri" w:hAnsi="Calibri"/>
          <w:b/>
          <w:i w:val="0"/>
          <w:sz w:val="22"/>
        </w:rPr>
        <w:t>Registro de Análise de Decisão (RAD)</w:t>
      </w:r>
      <w:r>
        <w:rPr>
          <w:rFonts w:ascii="Calibri" w:hAnsi="Calibri"/>
          <w:b w:val="0"/>
          <w:i w:val="0"/>
          <w:sz w:val="22"/>
        </w:rPr>
        <w:t>, mantido no Confluence, contendo: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identificação e data da decisão;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problema/decisão e contexto;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gatilho que motivou a análise formal;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alternativas consideradas;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critérios de avaliação e pesos;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método e resultado da avaliação (matriz de decisão);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decisão tomada e justificativa;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responsável pela decisão.</w:t>
      </w:r>
    </w:p>
    <w:p>
      <w:pPr>
        <w:pStyle w:val="Heading2"/>
        <w:keepNext/>
        <w:keepLines/>
      </w:pPr>
      <w:r>
        <w:t>Diferenciais adotados pela Timeware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Além do registro padrão, a Timeware incorpora dois elementos que aumentam o valor do RAD: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Vínculo com riscos:</w:t>
      </w:r>
      <w:r>
        <w:rPr>
          <w:rFonts w:ascii="Calibri" w:hAnsi="Calibri"/>
          <w:b w:val="0"/>
          <w:i w:val="0"/>
          <w:sz w:val="22"/>
        </w:rPr>
        <w:t xml:space="preserve"> cada decisão formal identifica os riscos associados à alternativa escolhida, que são registrados e tratados conforme a Estratégia de Gerência de Riscos (EST-GPC-002). Assim, a decisão não termina na escolha — ela alimenta a gestão de riscos.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da decisão:</w:t>
      </w:r>
      <w:r>
        <w:rPr>
          <w:rFonts w:ascii="Calibri" w:hAnsi="Calibri"/>
          <w:b w:val="0"/>
          <w:i w:val="0"/>
          <w:sz w:val="22"/>
        </w:rPr>
        <w:t xml:space="preserve"> o RAD registra as premissas que sustentaram a decisão. Quando o contexto do projeto muda de forma que invalide uma premissa relevante, a decisão é reaberta e reavaliada, evitando que escolhas baseadas em premissas superadas permaneçam vigentes.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Conduzem decisões técnicas e de arquitetura formais.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 decisões que atingem os gatilhos; garante o registro.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 de decisões que afetam escopo e produto.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 de decisões de alto impacto organizacional.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EST-GPC-002 — Estratégia de Gerência de Riscos e Oportunidades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Projeto e Construção do Produto (PCP)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Gerência de Decisões (GDE)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1 — diretrizes/critérios para quando usar decisão formal (gatilhos)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2 — alternativas de solução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3 — critérios de avaliação estabelecidos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4 — métodos de avaliação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5 — alternativas avaliadas conforme critérios e métodos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6 — decisão registrada e comunicada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Nomenclatura equivalente — templates MPS do consultor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Equivalente nos templates MPS (consultor)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TPL-GDE-001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TDA-Tomada_Decisao_Arquitetural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Cézar Velázquez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gerência de decisões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Refinamento do gatilho de alto impacto com limiar orientativo de 10% sobre prazo/custo (§3)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tabela de nomenclatura equivalente MPS (TDA-Tomada_Decisao_Arquitetural) na seção de rastreabilidade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PRO-GDE-001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