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32" w:space="0" w:color="003366"/>
        </w:pBdr>
        <w:spacing w:before="0" w:after="0"/>
      </w:pPr>
    </w:p>
    <w:p>
      <w:pPr>
        <w:spacing w:before="240" w:after="40"/>
      </w:pPr>
      <w:r>
        <w:rPr>
          <w:rFonts w:ascii="Calibri" w:hAnsi="Calibri"/>
          <w:b/>
          <w:color w:val="003366"/>
          <w:sz w:val="36"/>
        </w:rPr>
        <w:t>AVALIAÇÃO DE CAPACITAÇÃO — TRILHA GPC / MED / CAP (TIME DE MELHORIA / RH / RESP. MEDIÇÃO)</w:t>
      </w:r>
    </w:p>
    <w:p>
      <w:pPr>
        <w:spacing w:before="0" w:after="40"/>
      </w:pPr>
      <w:r>
        <w:rPr>
          <w:rFonts w:ascii="Calibri" w:hAnsi="Calibri"/>
          <w:color w:val="555555"/>
          <w:sz w:val="20"/>
        </w:rPr>
        <w:t>AVA-CAP-005   ·   Versão 1.0   ·   05/08/2025   ·   Timeware Brasil</w:t>
      </w:r>
    </w:p>
    <w:p>
      <w:pPr>
        <w:pBdr>
          <w:bottom w:val="single" w:sz="6" w:space="1" w:color="003366"/>
        </w:pBdr>
        <w:spacing w:before="120" w:after="280"/>
      </w:pP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51"/>
        <w:gridCol w:w="4451"/>
      </w:tblGrid>
      <w:tr>
        <w:trPr>
          <w:cantSplit w:val="1"/>
        </w:trPr>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Campo</w:t>
            </w:r>
          </w:p>
        </w:tc>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Valor</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Documento</w:t>
            </w:r>
          </w:p>
        </w:tc>
        <w:tc>
          <w:tcPr>
            <w:tcW w:type="dxa" w:w="4451"/>
            <w:tcMar>
              <w:top w:w="60" w:type="dxa"/>
              <w:bottom w:w="60" w:type="dxa"/>
              <w:left w:w="100" w:type="dxa"/>
              <w:right w:w="100" w:type="dxa"/>
            </w:tcMar>
          </w:tcPr>
          <w:p>
            <w:pPr>
              <w:spacing w:before="40" w:after="40"/>
            </w:pPr>
            <w:r>
              <w:rPr>
                <w:rFonts w:ascii="Calibri" w:hAnsi="Calibri"/>
                <w:b w:val="0"/>
                <w:i w:val="0"/>
                <w:sz w:val="20"/>
              </w:rPr>
              <w:t>AVA-CAP-005 — Avaliação Trilha GPC / MED / CAP</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Versão</w:t>
            </w:r>
          </w:p>
        </w:tc>
        <w:tc>
          <w:tcPr>
            <w:tcW w:type="dxa" w:w="4451"/>
            <w:tcMar>
              <w:top w:w="60" w:type="dxa"/>
              <w:bottom w:w="60" w:type="dxa"/>
              <w:left w:w="100" w:type="dxa"/>
              <w:right w:w="100" w:type="dxa"/>
            </w:tcMar>
          </w:tcPr>
          <w:p>
            <w:pPr>
              <w:spacing w:before="40" w:after="40"/>
            </w:pPr>
            <w:r>
              <w:rPr>
                <w:rFonts w:ascii="Calibri" w:hAnsi="Calibri"/>
                <w:b w:val="0"/>
                <w:i w:val="0"/>
                <w:sz w:val="20"/>
              </w:rPr>
              <w:t>1.0</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Data</w:t>
            </w:r>
          </w:p>
        </w:tc>
        <w:tc>
          <w:tcPr>
            <w:tcW w:type="dxa" w:w="4451"/>
            <w:tcMar>
              <w:top w:w="60" w:type="dxa"/>
              <w:bottom w:w="60" w:type="dxa"/>
              <w:left w:w="100" w:type="dxa"/>
              <w:right w:w="100" w:type="dxa"/>
            </w:tcMar>
          </w:tcPr>
          <w:p>
            <w:pPr>
              <w:spacing w:before="40" w:after="40"/>
            </w:pPr>
            <w:r>
              <w:rPr>
                <w:rFonts w:ascii="Calibri" w:hAnsi="Calibri"/>
                <w:b w:val="0"/>
                <w:i w:val="0"/>
                <w:sz w:val="20"/>
              </w:rPr>
              <w:t>05/08/2025</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Aplicação</w:t>
            </w:r>
          </w:p>
        </w:tc>
        <w:tc>
          <w:tcPr>
            <w:tcW w:type="dxa" w:w="4451"/>
            <w:tcMar>
              <w:top w:w="60" w:type="dxa"/>
              <w:bottom w:w="60" w:type="dxa"/>
              <w:left w:w="100" w:type="dxa"/>
              <w:right w:w="100" w:type="dxa"/>
            </w:tcMar>
          </w:tcPr>
          <w:p>
            <w:pPr>
              <w:spacing w:before="40" w:after="40"/>
            </w:pPr>
            <w:r>
              <w:rPr>
                <w:rFonts w:ascii="Calibri" w:hAnsi="Calibri"/>
                <w:b w:val="0"/>
                <w:i w:val="0"/>
                <w:sz w:val="20"/>
              </w:rPr>
              <w:t>Time de Melhoria Contínua, RH/Pessoas, Responsável de Medição</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Pré-requisito</w:t>
            </w:r>
          </w:p>
        </w:tc>
        <w:tc>
          <w:tcPr>
            <w:tcW w:type="dxa" w:w="4451"/>
            <w:tcMar>
              <w:top w:w="60" w:type="dxa"/>
              <w:bottom w:w="60" w:type="dxa"/>
              <w:left w:w="100" w:type="dxa"/>
              <w:right w:w="100" w:type="dxa"/>
            </w:tcMar>
          </w:tcPr>
          <w:p>
            <w:pPr>
              <w:spacing w:before="40" w:after="40"/>
            </w:pPr>
            <w:r>
              <w:rPr>
                <w:rFonts w:ascii="Calibri" w:hAnsi="Calibri"/>
                <w:b w:val="0"/>
                <w:i w:val="0"/>
                <w:sz w:val="20"/>
              </w:rPr>
              <w:t>AVA-CAP-001 aprovado</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Referência</w:t>
            </w:r>
          </w:p>
        </w:tc>
        <w:tc>
          <w:tcPr>
            <w:tcW w:type="dxa" w:w="4451"/>
            <w:tcMar>
              <w:top w:w="60" w:type="dxa"/>
              <w:bottom w:w="60" w:type="dxa"/>
              <w:left w:w="100" w:type="dxa"/>
              <w:right w:w="100" w:type="dxa"/>
            </w:tcMar>
          </w:tcPr>
          <w:p>
            <w:pPr>
              <w:spacing w:before="40" w:after="40"/>
            </w:pPr>
            <w:r>
              <w:rPr>
                <w:rFonts w:ascii="Calibri" w:hAnsi="Calibri"/>
                <w:b w:val="0"/>
                <w:i w:val="0"/>
                <w:sz w:val="20"/>
              </w:rPr>
              <w:t>PLA-CAP-001 §4; MAT-CAP-013, MAT-CAP-014, MAT-CAP-015, MAT-CAP-022; GUIA-CAP-008, 009, 011</w:t>
            </w:r>
          </w:p>
        </w:tc>
      </w:tr>
    </w:tbl>
    <w:p>
      <w:pPr>
        <w:spacing w:before="0" w:after="160"/>
      </w:pPr>
    </w:p>
    <w:p>
      <w:pPr>
        <w:pStyle w:val="Heading1"/>
        <w:keepNext/>
        <w:keepLines/>
        <w:pBdr>
          <w:bottom w:val="single" w:sz="4" w:space="2" w:color="D6E4F0"/>
        </w:pBdr>
      </w:pPr>
      <w:r>
        <w:t>Instruções</w:t>
      </w:r>
    </w:p>
    <w:p>
      <w:pPr>
        <w:spacing w:before="0" w:after="120"/>
      </w:pPr>
      <w:r>
        <w:rPr>
          <w:rFonts w:ascii="Calibri" w:hAnsi="Calibri"/>
          <w:b w:val="0"/>
          <w:i w:val="0"/>
          <w:sz w:val="22"/>
        </w:rPr>
        <w:t xml:space="preserve">Responda com suas próprias palavras. Questões marcadas com </w:t>
      </w:r>
      <w:r>
        <w:rPr>
          <w:rFonts w:ascii="Calibri" w:hAnsi="Calibri"/>
          <w:b/>
          <w:i w:val="0"/>
          <w:sz w:val="22"/>
        </w:rPr>
        <w:t>(TM)</w:t>
      </w:r>
      <w:r>
        <w:rPr>
          <w:rFonts w:ascii="Calibri" w:hAnsi="Calibri"/>
          <w:b w:val="0"/>
          <w:i w:val="0"/>
          <w:sz w:val="22"/>
        </w:rPr>
        <w:t xml:space="preserve"> são obrigatórias para o Time de Melhoria; </w:t>
      </w:r>
      <w:r>
        <w:rPr>
          <w:rFonts w:ascii="Calibri" w:hAnsi="Calibri"/>
          <w:b/>
          <w:i w:val="0"/>
          <w:sz w:val="22"/>
        </w:rPr>
        <w:t>(RH)</w:t>
      </w:r>
      <w:r>
        <w:rPr>
          <w:rFonts w:ascii="Calibri" w:hAnsi="Calibri"/>
          <w:b w:val="0"/>
          <w:i w:val="0"/>
          <w:sz w:val="22"/>
        </w:rPr>
        <w:t xml:space="preserve"> para RH/Pessoas; </w:t>
      </w:r>
      <w:r>
        <w:rPr>
          <w:rFonts w:ascii="Calibri" w:hAnsi="Calibri"/>
          <w:b/>
          <w:i w:val="0"/>
          <w:sz w:val="22"/>
        </w:rPr>
        <w:t>(MED)</w:t>
      </w:r>
      <w:r>
        <w:rPr>
          <w:rFonts w:ascii="Calibri" w:hAnsi="Calibri"/>
          <w:b w:val="0"/>
          <w:i w:val="0"/>
          <w:sz w:val="22"/>
        </w:rPr>
        <w:t xml:space="preserve"> para o Responsável de Medição. As demais são comuns. Pontuação de corte: </w:t>
      </w:r>
      <w:r>
        <w:rPr>
          <w:rFonts w:ascii="Calibri" w:hAnsi="Calibri"/>
          <w:b/>
          <w:i w:val="0"/>
          <w:sz w:val="22"/>
        </w:rPr>
        <w:t>70%</w:t>
      </w:r>
      <w:r>
        <w:rPr>
          <w:rFonts w:ascii="Calibri" w:hAnsi="Calibri"/>
          <w:b w:val="0"/>
          <w:i w:val="0"/>
          <w:sz w:val="22"/>
        </w:rPr>
        <w:t>.</w:t>
      </w:r>
    </w:p>
    <w:p>
      <w:pPr>
        <w:pStyle w:val="Heading1"/>
        <w:keepNext/>
        <w:keepLines/>
        <w:pBdr>
          <w:bottom w:val="single" w:sz="4" w:space="2" w:color="D6E4F0"/>
        </w:pBdr>
      </w:pPr>
      <w:r>
        <w:t>Bloco 1 — GPC (Gerência de Processos e Capacidade)</w:t>
      </w:r>
    </w:p>
    <w:p>
      <w:pPr>
        <w:spacing w:before="0" w:after="120"/>
      </w:pPr>
      <w:r>
        <w:rPr>
          <w:rFonts w:ascii="Calibri" w:hAnsi="Calibri"/>
          <w:b/>
          <w:i w:val="0"/>
          <w:sz w:val="22"/>
        </w:rPr>
        <w:t>1. (TM)</w:t>
      </w:r>
      <w:r>
        <w:rPr>
          <w:rFonts w:ascii="Calibri" w:hAnsi="Calibri"/>
          <w:b w:val="0"/>
          <w:i w:val="0"/>
          <w:sz w:val="22"/>
        </w:rPr>
        <w:t xml:space="preserve"> O que é a biblioteca de ativos de processo (BAP) e o que ela contém?</w:t>
      </w:r>
    </w:p>
    <w:p>
      <w:pPr>
        <w:spacing w:before="40" w:after="120"/>
        <w:ind w:left="454"/>
        <w:pBdr>
          <w:left w:val="single" w:sz="12" w:space="8" w:color="003366"/>
        </w:pBdr>
      </w:pPr>
      <w:r>
        <w:rPr>
          <w:rFonts w:ascii="Calibri" w:hAnsi="Calibri"/>
          <w:b w:val="0"/>
          <w:i w:val="0"/>
          <w:color w:val="1A5276"/>
          <w:sz w:val="22"/>
        </w:rPr>
        <w:t>_Resposta esperada: É o repositório organizacional de processos e artefatos padronizados. Contém: políticas, processos definidos (PRO-</w:t>
      </w:r>
      <w:r>
        <w:rPr>
          <w:rFonts w:ascii="Calibri" w:hAnsi="Calibri"/>
          <w:b w:val="0"/>
          <w:i/>
          <w:color w:val="1A5276"/>
          <w:sz w:val="22"/>
        </w:rPr>
        <w:t>), templates (TPL-</w:t>
      </w:r>
      <w:r>
        <w:rPr>
          <w:rFonts w:ascii="Calibri" w:hAnsi="Calibri"/>
          <w:b w:val="0"/>
          <w:i w:val="0"/>
          <w:color w:val="1A5276"/>
          <w:sz w:val="22"/>
        </w:rPr>
        <w:t>), guias (GUIA-</w:t>
      </w:r>
      <w:r>
        <w:rPr>
          <w:rFonts w:ascii="Calibri" w:hAnsi="Calibri"/>
          <w:b w:val="0"/>
          <w:i/>
          <w:color w:val="1A5276"/>
          <w:sz w:val="22"/>
        </w:rPr>
        <w:t>), planos organizacionais (PLA-</w:t>
      </w:r>
      <w:r>
        <w:rPr>
          <w:rFonts w:ascii="Calibri" w:hAnsi="Calibri"/>
          <w:b w:val="0"/>
          <w:i w:val="0"/>
          <w:color w:val="1A5276"/>
          <w:sz w:val="22"/>
        </w:rPr>
        <w:t>), além de lições aprendidas e dados históricos de projetos._</w:t>
      </w:r>
    </w:p>
    <w:p>
      <w:pPr>
        <w:spacing w:before="0" w:after="120"/>
      </w:pPr>
      <w:r>
        <w:rPr>
          <w:rFonts w:ascii="Calibri" w:hAnsi="Calibri"/>
          <w:b/>
          <w:i w:val="0"/>
          <w:sz w:val="22"/>
        </w:rPr>
        <w:t>2. (TM)</w:t>
      </w:r>
      <w:r>
        <w:rPr>
          <w:rFonts w:ascii="Calibri" w:hAnsi="Calibri"/>
          <w:b w:val="0"/>
          <w:i w:val="0"/>
          <w:sz w:val="22"/>
        </w:rPr>
        <w:t xml:space="preserve"> Qual é a diferença entre GPC e GQA?</w:t>
      </w:r>
    </w:p>
    <w:p>
      <w:pPr>
        <w:spacing w:before="40" w:after="120"/>
        <w:ind w:left="454"/>
        <w:pBdr>
          <w:left w:val="single" w:sz="12" w:space="8" w:color="003366"/>
        </w:pBdr>
      </w:pPr>
      <w:r>
        <w:rPr>
          <w:rFonts w:ascii="Calibri" w:hAnsi="Calibri"/>
          <w:b w:val="0"/>
          <w:i w:val="0"/>
          <w:color w:val="1A5276"/>
          <w:sz w:val="22"/>
        </w:rPr>
        <w:t>_Resposta esperada: GPC é o processo de definir, manter e melhorar os processos organizacionais (o "o que fazemos"). GQA é a verificação objetiva de que os projetos seguem os processos definidos pelo GPC (o "estamos fazendo como definido?"). Time de Melhoria define (GPC) e audita (GQA)._</w:t>
      </w:r>
    </w:p>
    <w:p>
      <w:pPr>
        <w:spacing w:before="0" w:after="120"/>
      </w:pPr>
      <w:r>
        <w:rPr>
          <w:rFonts w:ascii="Calibri" w:hAnsi="Calibri"/>
          <w:b/>
          <w:i w:val="0"/>
          <w:sz w:val="22"/>
        </w:rPr>
        <w:t>3. (TM)</w:t>
      </w:r>
      <w:r>
        <w:rPr>
          <w:rFonts w:ascii="Calibri" w:hAnsi="Calibri"/>
          <w:b w:val="0"/>
          <w:i w:val="0"/>
          <w:sz w:val="22"/>
        </w:rPr>
        <w:t xml:space="preserve"> Como uma oportunidade de melhoria identificada em um projeto vira uma atualização no processo organizacional?</w:t>
      </w:r>
    </w:p>
    <w:p>
      <w:pPr>
        <w:spacing w:before="40" w:after="120"/>
        <w:ind w:left="454"/>
        <w:pBdr>
          <w:left w:val="single" w:sz="12" w:space="8" w:color="003366"/>
        </w:pBdr>
      </w:pPr>
      <w:r>
        <w:rPr>
          <w:rFonts w:ascii="Calibri" w:hAnsi="Calibri"/>
          <w:b w:val="0"/>
          <w:i w:val="0"/>
          <w:color w:val="1A5276"/>
          <w:sz w:val="22"/>
        </w:rPr>
        <w:t>_Resposta esperada: Parte do Registro de Lições Aprendidas (LI) do projeto → analisado nas reuniões de melhoria do Time → aprovado como melhoria → processo atualizado na BAP (nova versão do PRO-</w:t>
      </w:r>
      <w:r>
        <w:rPr>
          <w:rFonts w:ascii="Calibri" w:hAnsi="Calibri"/>
          <w:b w:val="0"/>
          <w:i/>
          <w:color w:val="1A5276"/>
          <w:sz w:val="22"/>
        </w:rPr>
        <w:t>/TPL-</w:t>
      </w:r>
      <w:r>
        <w:rPr>
          <w:rFonts w:ascii="Calibri" w:hAnsi="Calibri"/>
          <w:b w:val="0"/>
          <w:i w:val="0"/>
          <w:color w:val="1A5276"/>
          <w:sz w:val="22"/>
        </w:rPr>
        <w:t>/GUIA-*) → comunicado aos times. O ciclo fecha com evidência de que a mudança foi implantada._</w:t>
      </w:r>
    </w:p>
    <w:p>
      <w:pPr>
        <w:spacing w:before="0" w:after="120"/>
      </w:pPr>
      <w:r>
        <w:rPr>
          <w:rFonts w:ascii="Calibri" w:hAnsi="Calibri"/>
          <w:b/>
          <w:i w:val="0"/>
          <w:sz w:val="22"/>
        </w:rPr>
        <w:t>4. (TM)</w:t>
      </w:r>
      <w:r>
        <w:rPr>
          <w:rFonts w:ascii="Calibri" w:hAnsi="Calibri"/>
          <w:b w:val="0"/>
          <w:i w:val="0"/>
          <w:sz w:val="22"/>
        </w:rPr>
        <w:t xml:space="preserve"> O que deve ser verificado em uma auditoria GQA de processo (GQA 1)?</w:t>
      </w:r>
    </w:p>
    <w:p>
      <w:pPr>
        <w:spacing w:before="40" w:after="120"/>
        <w:ind w:left="454"/>
        <w:pBdr>
          <w:left w:val="single" w:sz="12" w:space="8" w:color="003366"/>
        </w:pBdr>
      </w:pPr>
      <w:r>
        <w:rPr>
          <w:rFonts w:ascii="Calibri" w:hAnsi="Calibri"/>
          <w:b w:val="0"/>
          <w:i w:val="0"/>
          <w:color w:val="1A5276"/>
          <w:sz w:val="22"/>
        </w:rPr>
        <w:t>_Resposta esperada: Se o projeto está seguindo o processo-padrão: os artefatos definidos existem, estão no local correto, têm o conteúdo esperado e foram produzidos no momento certo do fluxo. Exemplos: TAP existe e está aprovado? Plano de V&amp;V foi criado antes dos testes? Critérios de aceite estão nos itens do backlog?_</w:t>
      </w:r>
    </w:p>
    <w:p>
      <w:pPr>
        <w:spacing w:before="0" w:after="120"/>
      </w:pPr>
      <w:r>
        <w:rPr>
          <w:rFonts w:ascii="Calibri" w:hAnsi="Calibri"/>
          <w:b/>
          <w:i w:val="0"/>
          <w:sz w:val="22"/>
        </w:rPr>
        <w:t>5. (TM)</w:t>
      </w:r>
      <w:r>
        <w:rPr>
          <w:rFonts w:ascii="Calibri" w:hAnsi="Calibri"/>
          <w:b w:val="0"/>
          <w:i w:val="0"/>
          <w:sz w:val="22"/>
        </w:rPr>
        <w:t xml:space="preserve"> O que deve ser verificado em uma auditoria GQA de produto (GQA 2)?</w:t>
      </w:r>
    </w:p>
    <w:p>
      <w:pPr>
        <w:spacing w:before="40" w:after="120"/>
        <w:ind w:left="454"/>
        <w:pBdr>
          <w:left w:val="single" w:sz="12" w:space="8" w:color="003366"/>
        </w:pBdr>
      </w:pPr>
      <w:r>
        <w:rPr>
          <w:rFonts w:ascii="Calibri" w:hAnsi="Calibri"/>
          <w:b w:val="0"/>
          <w:i w:val="0"/>
          <w:color w:val="1A5276"/>
          <w:sz w:val="22"/>
        </w:rPr>
        <w:t>_Resposta esperada: Se os produtos de trabalho (documentos, código, evidências de teste) estão em conformidade com os padrões definidos (templates, convenções). Exemplos: o documento segue o template? O código segue CONV-ORG-001? As evidências de teste têm prints reais (não mockados)?_</w:t>
      </w:r>
    </w:p>
    <w:p>
      <w:pPr>
        <w:pStyle w:val="Heading1"/>
        <w:keepNext/>
        <w:keepLines/>
        <w:pBdr>
          <w:bottom w:val="single" w:sz="4" w:space="2" w:color="D6E4F0"/>
        </w:pBdr>
      </w:pPr>
      <w:r>
        <w:t>Bloco 2 — MED (Medição)</w:t>
      </w:r>
    </w:p>
    <w:p>
      <w:pPr>
        <w:spacing w:before="0" w:after="120"/>
      </w:pPr>
      <w:r>
        <w:rPr>
          <w:rFonts w:ascii="Calibri" w:hAnsi="Calibri"/>
          <w:b/>
          <w:i w:val="0"/>
          <w:sz w:val="22"/>
        </w:rPr>
        <w:t>6. (MED)</w:t>
      </w:r>
      <w:r>
        <w:rPr>
          <w:rFonts w:ascii="Calibri" w:hAnsi="Calibri"/>
          <w:b w:val="0"/>
          <w:i w:val="0"/>
          <w:sz w:val="22"/>
        </w:rPr>
        <w:t xml:space="preserve"> Quais são os 7 indicadores do PLA-MED-001? Indique a qual categoria cada um pertence.</w:t>
      </w:r>
    </w:p>
    <w:p>
      <w:pPr>
        <w:spacing w:before="40" w:after="120"/>
        <w:ind w:left="454"/>
        <w:pBdr>
          <w:left w:val="single" w:sz="12" w:space="8" w:color="003366"/>
        </w:pBdr>
      </w:pPr>
      <w:r>
        <w:rPr>
          <w:rFonts w:ascii="Calibri" w:hAnsi="Calibri"/>
          <w:b w:val="0"/>
          <w:i w:val="0"/>
          <w:color w:val="1A5276"/>
          <w:sz w:val="22"/>
        </w:rPr>
        <w:t>_Resposta esperada:_</w:t>
      </w:r>
    </w:p>
    <w:p>
      <w:pPr>
        <w:spacing w:before="40" w:after="120"/>
        <w:ind w:left="454"/>
        <w:pBdr>
          <w:left w:val="single" w:sz="12" w:space="8" w:color="003366"/>
        </w:pBdr>
      </w:pPr>
      <w:r>
        <w:rPr>
          <w:rFonts w:ascii="Calibri" w:hAnsi="Calibri"/>
          <w:b w:val="0"/>
          <w:i w:val="0"/>
          <w:color w:val="1A5276"/>
          <w:sz w:val="22"/>
        </w:rPr>
        <w:t>_Previsibilidade: aderência ao prazo, esforço estimado × real, velocity, itens entregues × planejados._</w:t>
      </w:r>
    </w:p>
    <w:p>
      <w:pPr>
        <w:spacing w:before="40" w:after="120"/>
        <w:ind w:left="454"/>
        <w:pBdr>
          <w:left w:val="single" w:sz="12" w:space="8" w:color="003366"/>
        </w:pBdr>
      </w:pPr>
      <w:r>
        <w:rPr>
          <w:rFonts w:ascii="Calibri" w:hAnsi="Calibri"/>
          <w:b w:val="0"/>
          <w:i w:val="0"/>
          <w:color w:val="1A5276"/>
          <w:sz w:val="22"/>
        </w:rPr>
        <w:t>_Qualidade: densidade de defeitos, defeitos homolog × produção, retrabalho._</w:t>
      </w:r>
    </w:p>
    <w:p>
      <w:pPr>
        <w:spacing w:before="0" w:after="120"/>
      </w:pPr>
      <w:r>
        <w:rPr>
          <w:rFonts w:ascii="Calibri" w:hAnsi="Calibri"/>
          <w:b/>
          <w:i w:val="0"/>
          <w:sz w:val="22"/>
        </w:rPr>
        <w:t>7. (MED)</w:t>
      </w:r>
      <w:r>
        <w:rPr>
          <w:rFonts w:ascii="Calibri" w:hAnsi="Calibri"/>
          <w:b w:val="0"/>
          <w:i w:val="0"/>
          <w:sz w:val="22"/>
        </w:rPr>
        <w:t xml:space="preserve"> Qual é a diferença entre coleta de sprint e consolidação mensal?</w:t>
      </w:r>
    </w:p>
    <w:p>
      <w:pPr>
        <w:spacing w:before="40" w:after="120"/>
        <w:ind w:left="454"/>
        <w:pBdr>
          <w:left w:val="single" w:sz="12" w:space="8" w:color="003366"/>
        </w:pBdr>
      </w:pPr>
      <w:r>
        <w:rPr>
          <w:rFonts w:ascii="Calibri" w:hAnsi="Calibri"/>
          <w:b w:val="0"/>
          <w:i w:val="0"/>
          <w:color w:val="1A5276"/>
          <w:sz w:val="22"/>
        </w:rPr>
        <w:t>_Resposta esperada: Na coleta de sprint, o Responsável de Medição coleta e armazena as medidas brutas ao final de cada sprint (dados por período). Na consolidação mensal, esses dados são agregados para calcular os indicadores ao longo do tempo (tendências, média de sprints, evolução)._</w:t>
      </w:r>
    </w:p>
    <w:p>
      <w:pPr>
        <w:spacing w:before="0" w:after="120"/>
      </w:pPr>
      <w:r>
        <w:rPr>
          <w:rFonts w:ascii="Calibri" w:hAnsi="Calibri"/>
          <w:b/>
          <w:i w:val="0"/>
          <w:sz w:val="22"/>
        </w:rPr>
        <w:t>8. (MED)</w:t>
      </w:r>
      <w:r>
        <w:rPr>
          <w:rFonts w:ascii="Calibri" w:hAnsi="Calibri"/>
          <w:b w:val="0"/>
          <w:i w:val="0"/>
          <w:sz w:val="22"/>
        </w:rPr>
        <w:t xml:space="preserve"> O Responsável de Medição identifica ações corretivas com base nos indicadores? Explique.</w:t>
      </w:r>
    </w:p>
    <w:p>
      <w:pPr>
        <w:spacing w:before="40" w:after="120"/>
        <w:ind w:left="454"/>
        <w:pBdr>
          <w:left w:val="single" w:sz="12" w:space="8" w:color="003366"/>
        </w:pBdr>
      </w:pPr>
      <w:r>
        <w:rPr>
          <w:rFonts w:ascii="Calibri" w:hAnsi="Calibri"/>
          <w:b w:val="0"/>
          <w:i w:val="0"/>
          <w:color w:val="1A5276"/>
          <w:sz w:val="22"/>
        </w:rPr>
        <w:t>_Resposta esperada: Não. O Responsável consolida e comunica os resultados. A identificação de ações corretivas (MED 5) é responsabilidade do nível de gestão (GP, COO) na análise crítica. O Responsável produz a informação; a decisão é de quem analisa._</w:t>
      </w:r>
    </w:p>
    <w:p>
      <w:pPr>
        <w:spacing w:before="0" w:after="120"/>
      </w:pPr>
      <w:r>
        <w:rPr>
          <w:rFonts w:ascii="Calibri" w:hAnsi="Calibri"/>
          <w:b/>
          <w:i w:val="0"/>
          <w:sz w:val="22"/>
        </w:rPr>
        <w:t>9. (MED)</w:t>
      </w:r>
      <w:r>
        <w:rPr>
          <w:rFonts w:ascii="Calibri" w:hAnsi="Calibri"/>
          <w:b w:val="0"/>
          <w:i w:val="0"/>
          <w:sz w:val="22"/>
        </w:rPr>
        <w:t xml:space="preserve"> Onde ficam os resultados de medição consolidados e comunicados?</w:t>
      </w:r>
    </w:p>
    <w:p>
      <w:pPr>
        <w:spacing w:before="40" w:after="120"/>
        <w:ind w:left="454"/>
        <w:pBdr>
          <w:left w:val="single" w:sz="12" w:space="8" w:color="003366"/>
        </w:pBdr>
      </w:pPr>
      <w:r>
        <w:rPr>
          <w:rFonts w:ascii="Calibri" w:hAnsi="Calibri"/>
          <w:b w:val="0"/>
          <w:i w:val="0"/>
          <w:color w:val="1A5276"/>
          <w:sz w:val="22"/>
        </w:rPr>
        <w:t>_Resposta esperada: As medidas coletadas ficam no Jira (repositório). A consolidação mensal fica no Jira / camada de consolidação. A comunicação periódica e a avaliação de qualidade do repositório ficam no Confluence (PLA-MED-001 §7 e §8)._</w:t>
      </w:r>
    </w:p>
    <w:p>
      <w:pPr>
        <w:pStyle w:val="Heading1"/>
        <w:keepNext/>
        <w:keepLines/>
        <w:pBdr>
          <w:bottom w:val="single" w:sz="4" w:space="2" w:color="D6E4F0"/>
        </w:pBdr>
      </w:pPr>
      <w:r>
        <w:t>Bloco 3 — CAP (Capacitação)</w:t>
      </w:r>
    </w:p>
    <w:p>
      <w:pPr>
        <w:spacing w:before="0" w:after="120"/>
      </w:pPr>
      <w:r>
        <w:rPr>
          <w:rFonts w:ascii="Calibri" w:hAnsi="Calibri"/>
          <w:b/>
          <w:i w:val="0"/>
          <w:sz w:val="22"/>
        </w:rPr>
        <w:t>10. (RH)</w:t>
      </w:r>
      <w:r>
        <w:rPr>
          <w:rFonts w:ascii="Calibri" w:hAnsi="Calibri"/>
          <w:b w:val="0"/>
          <w:i w:val="0"/>
          <w:sz w:val="22"/>
        </w:rPr>
        <w:t xml:space="preserve"> Como o processo CAP identifica as necessidades de capacitação?</w:t>
      </w:r>
    </w:p>
    <w:p>
      <w:pPr>
        <w:spacing w:before="40" w:after="120"/>
        <w:ind w:left="454"/>
        <w:pBdr>
          <w:left w:val="single" w:sz="12" w:space="8" w:color="003366"/>
        </w:pBdr>
      </w:pPr>
      <w:r>
        <w:rPr>
          <w:rFonts w:ascii="Calibri" w:hAnsi="Calibri"/>
          <w:b w:val="0"/>
          <w:i w:val="0"/>
          <w:color w:val="1A5276"/>
          <w:sz w:val="22"/>
        </w:rPr>
        <w:t>_Resposta esperada: A partir das necessidades dos processos definidos pelo GPC, das lacunas identificadas por GPs e líderes, e dos novos papéis ou processos introduzidos. As necessidades são registradas no Plano de Capacitação (PLA-CAP-001)._</w:t>
      </w:r>
    </w:p>
    <w:p>
      <w:pPr>
        <w:spacing w:before="0" w:after="120"/>
      </w:pPr>
      <w:r>
        <w:rPr>
          <w:rFonts w:ascii="Calibri" w:hAnsi="Calibri"/>
          <w:b/>
          <w:i w:val="0"/>
          <w:sz w:val="22"/>
        </w:rPr>
        <w:t>11. (RH)</w:t>
      </w:r>
      <w:r>
        <w:rPr>
          <w:rFonts w:ascii="Calibri" w:hAnsi="Calibri"/>
          <w:b w:val="0"/>
          <w:i w:val="0"/>
          <w:sz w:val="22"/>
        </w:rPr>
        <w:t xml:space="preserve"> O que deve ser registrado após uma sessão de treinamento?</w:t>
      </w:r>
    </w:p>
    <w:p>
      <w:pPr>
        <w:spacing w:before="40" w:after="120"/>
        <w:ind w:left="454"/>
        <w:pBdr>
          <w:left w:val="single" w:sz="12" w:space="8" w:color="003366"/>
        </w:pBdr>
      </w:pPr>
      <w:r>
        <w:rPr>
          <w:rFonts w:ascii="Calibri" w:hAnsi="Calibri"/>
          <w:b w:val="0"/>
          <w:i w:val="0"/>
          <w:color w:val="1A5276"/>
          <w:sz w:val="22"/>
        </w:rPr>
        <w:t>_Resposta esperada: O registro de sessão (TPL-CAP-001): data, papel/perfil do participante, conteúdo coberto, participantes presentes e resultado da avaliação (aprovado/reprovado). Serve como evidência do atributo CP (iii) — pessoas preparadas._</w:t>
      </w:r>
    </w:p>
    <w:p>
      <w:pPr>
        <w:spacing w:before="0" w:after="120"/>
      </w:pPr>
      <w:r>
        <w:rPr>
          <w:rFonts w:ascii="Calibri" w:hAnsi="Calibri"/>
          <w:b/>
          <w:i w:val="0"/>
          <w:sz w:val="22"/>
        </w:rPr>
        <w:t>12. (RH)</w:t>
      </w:r>
      <w:r>
        <w:rPr>
          <w:rFonts w:ascii="Calibri" w:hAnsi="Calibri"/>
          <w:b w:val="0"/>
          <w:i w:val="0"/>
          <w:sz w:val="22"/>
        </w:rPr>
        <w:t xml:space="preserve"> Como a efetividade do treinamento é avaliada?</w:t>
      </w:r>
    </w:p>
    <w:p>
      <w:pPr>
        <w:spacing w:before="40" w:after="120"/>
        <w:ind w:left="454"/>
        <w:pBdr>
          <w:left w:val="single" w:sz="12" w:space="8" w:color="003366"/>
        </w:pBdr>
      </w:pPr>
      <w:r>
        <w:rPr>
          <w:rFonts w:ascii="Calibri" w:hAnsi="Calibri"/>
          <w:b w:val="0"/>
          <w:i w:val="0"/>
          <w:color w:val="1A5276"/>
          <w:sz w:val="22"/>
        </w:rPr>
        <w:t>_Resposta esperada: Por meio das avaliações (AVA-CAP-*) aplicadas ao final de cada sessão. O resultado (nota/aprovação) indica se o participante assimilou o conteúdo. Casos de reprovação geram replanejamento da capacitação._</w:t>
      </w:r>
    </w:p>
    <w:p>
      <w:pPr>
        <w:pStyle w:val="Heading1"/>
        <w:keepNext/>
        <w:keepLines/>
        <w:pBdr>
          <w:bottom w:val="single" w:sz="4" w:space="2" w:color="D6E4F0"/>
        </w:pBdr>
      </w:pPr>
      <w:r>
        <w:t>Gabarito e Pontuação</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967"/>
        <w:gridCol w:w="2967"/>
        <w:gridCol w:w="2967"/>
      </w:tblGrid>
      <w:tr>
        <w:trPr>
          <w:cantSplit w:val="1"/>
        </w:trPr>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Questão</w:t>
            </w:r>
          </w:p>
        </w:tc>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Papel</w:t>
            </w:r>
          </w:p>
        </w:tc>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Pontos</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1</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TM (obrigatória)</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8</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2</w:t>
            </w:r>
          </w:p>
        </w:tc>
        <w:tc>
          <w:tcPr>
            <w:tcW w:type="dxa" w:w="2967"/>
            <w:tcMar>
              <w:top w:w="60" w:type="dxa"/>
              <w:bottom w:w="60" w:type="dxa"/>
              <w:left w:w="100" w:type="dxa"/>
              <w:right w:w="100" w:type="dxa"/>
            </w:tcMar>
          </w:tcPr>
          <w:p>
            <w:pPr>
              <w:spacing w:before="40" w:after="40"/>
            </w:pPr>
            <w:r>
              <w:rPr>
                <w:rFonts w:ascii="Calibri" w:hAnsi="Calibri"/>
                <w:b w:val="0"/>
                <w:i w:val="0"/>
                <w:sz w:val="20"/>
              </w:rPr>
              <w:t>TM (obrigatória)</w:t>
            </w:r>
          </w:p>
        </w:tc>
        <w:tc>
          <w:tcPr>
            <w:tcW w:type="dxa" w:w="2967"/>
            <w:tcMar>
              <w:top w:w="60" w:type="dxa"/>
              <w:bottom w:w="60" w:type="dxa"/>
              <w:left w:w="100" w:type="dxa"/>
              <w:right w:w="100" w:type="dxa"/>
            </w:tcMar>
          </w:tcPr>
          <w:p>
            <w:pPr>
              <w:spacing w:before="40" w:after="40"/>
            </w:pPr>
            <w:r>
              <w:rPr>
                <w:rFonts w:ascii="Calibri" w:hAnsi="Calibri"/>
                <w:b w:val="0"/>
                <w:i w:val="0"/>
                <w:sz w:val="20"/>
              </w:rPr>
              <w:t>10</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3</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TM (obrigatória)</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8</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4</w:t>
            </w:r>
          </w:p>
        </w:tc>
        <w:tc>
          <w:tcPr>
            <w:tcW w:type="dxa" w:w="2967"/>
            <w:tcMar>
              <w:top w:w="60" w:type="dxa"/>
              <w:bottom w:w="60" w:type="dxa"/>
              <w:left w:w="100" w:type="dxa"/>
              <w:right w:w="100" w:type="dxa"/>
            </w:tcMar>
          </w:tcPr>
          <w:p>
            <w:pPr>
              <w:spacing w:before="40" w:after="40"/>
            </w:pPr>
            <w:r>
              <w:rPr>
                <w:rFonts w:ascii="Calibri" w:hAnsi="Calibri"/>
                <w:b w:val="0"/>
                <w:i w:val="0"/>
                <w:sz w:val="20"/>
              </w:rPr>
              <w:t>TM (obrigatória)</w:t>
            </w:r>
          </w:p>
        </w:tc>
        <w:tc>
          <w:tcPr>
            <w:tcW w:type="dxa" w:w="2967"/>
            <w:tcMar>
              <w:top w:w="60" w:type="dxa"/>
              <w:bottom w:w="60" w:type="dxa"/>
              <w:left w:w="100" w:type="dxa"/>
              <w:right w:w="100" w:type="dxa"/>
            </w:tcMar>
          </w:tcPr>
          <w:p>
            <w:pPr>
              <w:spacing w:before="40" w:after="40"/>
            </w:pPr>
            <w:r>
              <w:rPr>
                <w:rFonts w:ascii="Calibri" w:hAnsi="Calibri"/>
                <w:b w:val="0"/>
                <w:i w:val="0"/>
                <w:sz w:val="20"/>
              </w:rPr>
              <w:t>10</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5</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TM (obrigatória)</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10</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6</w:t>
            </w:r>
          </w:p>
        </w:tc>
        <w:tc>
          <w:tcPr>
            <w:tcW w:type="dxa" w:w="2967"/>
            <w:tcMar>
              <w:top w:w="60" w:type="dxa"/>
              <w:bottom w:w="60" w:type="dxa"/>
              <w:left w:w="100" w:type="dxa"/>
              <w:right w:w="100" w:type="dxa"/>
            </w:tcMar>
          </w:tcPr>
          <w:p>
            <w:pPr>
              <w:spacing w:before="40" w:after="40"/>
            </w:pPr>
            <w:r>
              <w:rPr>
                <w:rFonts w:ascii="Calibri" w:hAnsi="Calibri"/>
                <w:b w:val="0"/>
                <w:i w:val="0"/>
                <w:sz w:val="20"/>
              </w:rPr>
              <w:t>MED (obrigatória)</w:t>
            </w:r>
          </w:p>
        </w:tc>
        <w:tc>
          <w:tcPr>
            <w:tcW w:type="dxa" w:w="2967"/>
            <w:tcMar>
              <w:top w:w="60" w:type="dxa"/>
              <w:bottom w:w="60" w:type="dxa"/>
              <w:left w:w="100" w:type="dxa"/>
              <w:right w:w="100" w:type="dxa"/>
            </w:tcMar>
          </w:tcPr>
          <w:p>
            <w:pPr>
              <w:spacing w:before="40" w:after="40"/>
            </w:pPr>
            <w:r>
              <w:rPr>
                <w:rFonts w:ascii="Calibri" w:hAnsi="Calibri"/>
                <w:b w:val="0"/>
                <w:i w:val="0"/>
                <w:sz w:val="20"/>
              </w:rPr>
              <w:t>12</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7</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MED (obrigatória)</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8</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8</w:t>
            </w:r>
          </w:p>
        </w:tc>
        <w:tc>
          <w:tcPr>
            <w:tcW w:type="dxa" w:w="2967"/>
            <w:tcMar>
              <w:top w:w="60" w:type="dxa"/>
              <w:bottom w:w="60" w:type="dxa"/>
              <w:left w:w="100" w:type="dxa"/>
              <w:right w:w="100" w:type="dxa"/>
            </w:tcMar>
          </w:tcPr>
          <w:p>
            <w:pPr>
              <w:spacing w:before="40" w:after="40"/>
            </w:pPr>
            <w:r>
              <w:rPr>
                <w:rFonts w:ascii="Calibri" w:hAnsi="Calibri"/>
                <w:b w:val="0"/>
                <w:i w:val="0"/>
                <w:sz w:val="20"/>
              </w:rPr>
              <w:t>MED (obrigatória)</w:t>
            </w:r>
          </w:p>
        </w:tc>
        <w:tc>
          <w:tcPr>
            <w:tcW w:type="dxa" w:w="2967"/>
            <w:tcMar>
              <w:top w:w="60" w:type="dxa"/>
              <w:bottom w:w="60" w:type="dxa"/>
              <w:left w:w="100" w:type="dxa"/>
              <w:right w:w="100" w:type="dxa"/>
            </w:tcMar>
          </w:tcPr>
          <w:p>
            <w:pPr>
              <w:spacing w:before="40" w:after="40"/>
            </w:pPr>
            <w:r>
              <w:rPr>
                <w:rFonts w:ascii="Calibri" w:hAnsi="Calibri"/>
                <w:b w:val="0"/>
                <w:i w:val="0"/>
                <w:sz w:val="20"/>
              </w:rPr>
              <w:t>10</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9</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MED (obrigatória)</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10</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10</w:t>
            </w:r>
          </w:p>
        </w:tc>
        <w:tc>
          <w:tcPr>
            <w:tcW w:type="dxa" w:w="2967"/>
            <w:tcMar>
              <w:top w:w="60" w:type="dxa"/>
              <w:bottom w:w="60" w:type="dxa"/>
              <w:left w:w="100" w:type="dxa"/>
              <w:right w:w="100" w:type="dxa"/>
            </w:tcMar>
          </w:tcPr>
          <w:p>
            <w:pPr>
              <w:spacing w:before="40" w:after="40"/>
            </w:pPr>
            <w:r>
              <w:rPr>
                <w:rFonts w:ascii="Calibri" w:hAnsi="Calibri"/>
                <w:b w:val="0"/>
                <w:i w:val="0"/>
                <w:sz w:val="20"/>
              </w:rPr>
              <w:t>RH (obrigatória)</w:t>
            </w:r>
          </w:p>
        </w:tc>
        <w:tc>
          <w:tcPr>
            <w:tcW w:type="dxa" w:w="2967"/>
            <w:tcMar>
              <w:top w:w="60" w:type="dxa"/>
              <w:bottom w:w="60" w:type="dxa"/>
              <w:left w:w="100" w:type="dxa"/>
              <w:right w:w="100" w:type="dxa"/>
            </w:tcMar>
          </w:tcPr>
          <w:p>
            <w:pPr>
              <w:spacing w:before="40" w:after="40"/>
            </w:pPr>
            <w:r>
              <w:rPr>
                <w:rFonts w:ascii="Calibri" w:hAnsi="Calibri"/>
                <w:b w:val="0"/>
                <w:i w:val="0"/>
                <w:sz w:val="20"/>
              </w:rPr>
              <w:t>10</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11</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RH (obrigatória)</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8</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12</w:t>
            </w:r>
          </w:p>
        </w:tc>
        <w:tc>
          <w:tcPr>
            <w:tcW w:type="dxa" w:w="2967"/>
            <w:tcMar>
              <w:top w:w="60" w:type="dxa"/>
              <w:bottom w:w="60" w:type="dxa"/>
              <w:left w:w="100" w:type="dxa"/>
              <w:right w:w="100" w:type="dxa"/>
            </w:tcMar>
          </w:tcPr>
          <w:p>
            <w:pPr>
              <w:spacing w:before="40" w:after="40"/>
            </w:pPr>
            <w:r>
              <w:rPr>
                <w:rFonts w:ascii="Calibri" w:hAnsi="Calibri"/>
                <w:b w:val="0"/>
                <w:i w:val="0"/>
                <w:sz w:val="20"/>
              </w:rPr>
              <w:t>RH (obrigatória)</w:t>
            </w:r>
          </w:p>
        </w:tc>
        <w:tc>
          <w:tcPr>
            <w:tcW w:type="dxa" w:w="2967"/>
            <w:tcMar>
              <w:top w:w="60" w:type="dxa"/>
              <w:bottom w:w="60" w:type="dxa"/>
              <w:left w:w="100" w:type="dxa"/>
              <w:right w:w="100" w:type="dxa"/>
            </w:tcMar>
          </w:tcPr>
          <w:p>
            <w:pPr>
              <w:spacing w:before="40" w:after="40"/>
            </w:pPr>
            <w:r>
              <w:rPr>
                <w:rFonts w:ascii="Calibri" w:hAnsi="Calibri"/>
                <w:b w:val="0"/>
                <w:i w:val="0"/>
                <w:sz w:val="20"/>
              </w:rPr>
              <w:t>6</w:t>
            </w:r>
          </w:p>
        </w:tc>
      </w:tr>
    </w:tbl>
    <w:p>
      <w:pPr>
        <w:spacing w:before="0" w:after="160"/>
      </w:pPr>
    </w:p>
    <w:p>
      <w:pPr>
        <w:spacing w:before="0" w:after="120"/>
      </w:pPr>
      <w:r>
        <w:rPr>
          <w:rFonts w:ascii="Calibri" w:hAnsi="Calibri"/>
          <w:b w:val="0"/>
          <w:i w:val="0"/>
          <w:sz w:val="22"/>
        </w:rPr>
        <w:t xml:space="preserve">A pontuação é normalizada para 100 com base nas questões aplicáveis ao papel. Corte de aprovação: </w:t>
      </w:r>
      <w:r>
        <w:rPr>
          <w:rFonts w:ascii="Calibri" w:hAnsi="Calibri"/>
          <w:b/>
          <w:i w:val="0"/>
          <w:sz w:val="22"/>
        </w:rPr>
        <w:t>70 pontos</w:t>
      </w:r>
      <w:r>
        <w:rPr>
          <w:rFonts w:ascii="Calibri" w:hAnsi="Calibri"/>
          <w:b w:val="0"/>
          <w:i w:val="0"/>
          <w:sz w:val="22"/>
        </w:rPr>
        <w:t>.</w:t>
      </w:r>
    </w:p>
    <w:p>
      <w:pPr>
        <w:pStyle w:val="Heading1"/>
        <w:keepNext/>
        <w:keepLines/>
        <w:pBdr>
          <w:bottom w:val="single" w:sz="4" w:space="2" w:color="D6E4F0"/>
        </w:pBdr>
      </w:pPr>
      <w:r>
        <w:t>Histórico de revisões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Versão</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Data</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Autor</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Descrição</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1.0</w:t>
            </w:r>
          </w:p>
        </w:tc>
        <w:tc>
          <w:tcPr>
            <w:tcW w:type="dxa" w:w="2225"/>
            <w:tcMar>
              <w:top w:w="60" w:type="dxa"/>
              <w:bottom w:w="60" w:type="dxa"/>
              <w:left w:w="100" w:type="dxa"/>
              <w:right w:w="100" w:type="dxa"/>
            </w:tcMar>
          </w:tcPr>
          <w:p>
            <w:pPr>
              <w:spacing w:before="40" w:after="40"/>
            </w:pPr>
            <w:r>
              <w:rPr>
                <w:rFonts w:ascii="Calibri" w:hAnsi="Calibri"/>
                <w:b w:val="0"/>
                <w:i w:val="0"/>
                <w:sz w:val="20"/>
              </w:rPr>
              <w:t>05/08/2025</w:t>
            </w:r>
          </w:p>
        </w:tc>
        <w:tc>
          <w:tcPr>
            <w:tcW w:type="dxa" w:w="2225"/>
            <w:tcMar>
              <w:top w:w="60" w:type="dxa"/>
              <w:bottom w:w="60" w:type="dxa"/>
              <w:left w:w="100" w:type="dxa"/>
              <w:right w:w="100" w:type="dxa"/>
            </w:tcMar>
          </w:tcPr>
          <w:p>
            <w:pPr>
              <w:spacing w:before="40" w:after="40"/>
            </w:pPr>
            <w:r>
              <w:rPr>
                <w:rFonts w:ascii="Calibri" w:hAnsi="Calibri"/>
                <w:b w:val="0"/>
                <w:i w:val="0"/>
                <w:sz w:val="20"/>
              </w:rPr>
              <w:t>Time de Melhoria Contínua</w:t>
            </w:r>
          </w:p>
        </w:tc>
        <w:tc>
          <w:tcPr>
            <w:tcW w:type="dxa" w:w="2225"/>
            <w:tcMar>
              <w:top w:w="60" w:type="dxa"/>
              <w:bottom w:w="60" w:type="dxa"/>
              <w:left w:w="100" w:type="dxa"/>
              <w:right w:w="100" w:type="dxa"/>
            </w:tcMar>
          </w:tcPr>
          <w:p>
            <w:pPr>
              <w:spacing w:before="40" w:after="40"/>
            </w:pPr>
            <w:r>
              <w:rPr>
                <w:rFonts w:ascii="Calibri" w:hAnsi="Calibri"/>
                <w:b w:val="0"/>
                <w:i w:val="0"/>
                <w:sz w:val="20"/>
              </w:rPr>
              <w:t>Versão inicial</w:t>
            </w:r>
          </w:p>
        </w:tc>
      </w:tr>
    </w:tbl>
    <w:p>
      <w:pPr>
        <w:spacing w:before="0" w:after="160"/>
      </w:pPr>
    </w:p>
    <w:sectPr w:rsidR="00FC693F" w:rsidRPr="0006063C" w:rsidSect="00034616">
      <w:headerReference w:type="default" r:id="rId9"/>
      <w:headerReference w:type="first" r:id="rId10"/>
      <w:footerReference w:type="default" r:id="rId11"/>
      <w:footerReference w:type="first" r:id="rId12"/>
      <w:pgSz w:w="11906" w:h="16838"/>
      <w:pgMar w:top="1587" w:right="141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v1.0  ·  05/08/2025</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v1.0  ·  05/08/2025</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901"/>
      </w:tabs>
      <w:pBdr>
        <w:bottom w:val="single" w:sz="8" w:space="4" w:color="003366"/>
      </w:pBdr>
      <w:spacing w:before="0" w:after="80"/>
    </w:pPr>
    <w:r>
      <w:rPr>
        <w:rFonts w:ascii="Calibri" w:hAnsi="Calibri"/>
        <w:b/>
        <w:color w:val="003366"/>
        <w:sz w:val="18"/>
      </w:rPr>
      <w:t>TIMEWARE</w:t>
    </w:r>
    <w:r>
      <w:rPr>
        <w:rFonts w:ascii="Calibri" w:hAnsi="Calibri"/>
        <w:color w:val="555555"/>
        <w:sz w:val="18"/>
      </w:rPr>
      <w:t xml:space="preserve">   ·   AVA-CAP-005</w:t>
    </w:r>
    <w:r>
      <w:tab/>
    </w:r>
    <w:r>
      <w:rPr>
        <w:rFonts w:ascii="Calibri" w:hAnsi="Calibri"/>
        <w:color w:val="555555"/>
        <w:sz w:val="18"/>
      </w:rPr>
      <w:t>Capacitação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5276"/>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color w:val="1A52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